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9A088" w14:textId="54E70C0F" w:rsidR="00430052" w:rsidRDefault="00D30B95" w:rsidP="001B3B67">
      <w:pPr>
        <w:pStyle w:val="NormalWeb"/>
        <w:shd w:val="clear" w:color="auto" w:fill="FFFFFF"/>
        <w:rPr>
          <w:rFonts w:asciiTheme="minorHAnsi" w:hAnsiTheme="minorHAnsi" w:cstheme="minorHAnsi"/>
          <w:b/>
          <w:color w:val="2A2A2A"/>
          <w:sz w:val="32"/>
          <w:szCs w:val="32"/>
        </w:rPr>
      </w:pPr>
      <w:r w:rsidRPr="00430052">
        <w:rPr>
          <w:rFonts w:asciiTheme="minorHAnsi" w:hAnsiTheme="minorHAnsi" w:cstheme="minorHAnsi"/>
          <w:b/>
          <w:color w:val="2A2A2A"/>
          <w:sz w:val="32"/>
          <w:szCs w:val="32"/>
        </w:rPr>
        <w:t>Key Points</w:t>
      </w:r>
      <w:r w:rsidR="00430052">
        <w:rPr>
          <w:rFonts w:asciiTheme="minorHAnsi" w:hAnsiTheme="minorHAnsi" w:cstheme="minorHAnsi"/>
          <w:b/>
          <w:color w:val="2A2A2A"/>
          <w:sz w:val="32"/>
          <w:szCs w:val="32"/>
        </w:rPr>
        <w:t xml:space="preserve">:  </w:t>
      </w:r>
      <w:r w:rsidR="00430052" w:rsidRPr="00430052">
        <w:rPr>
          <w:rFonts w:asciiTheme="minorHAnsi" w:hAnsiTheme="minorHAnsi" w:cstheme="minorHAnsi"/>
          <w:b/>
          <w:color w:val="2A2A2A"/>
          <w:sz w:val="32"/>
          <w:szCs w:val="32"/>
        </w:rPr>
        <w:t>The Cures Act Final Rule</w:t>
      </w:r>
    </w:p>
    <w:p w14:paraId="1E2B9952" w14:textId="4EE415EA" w:rsidR="00282B71" w:rsidRPr="00430052" w:rsidRDefault="00D30B95" w:rsidP="001B3B67">
      <w:pPr>
        <w:pStyle w:val="NormalWeb"/>
        <w:shd w:val="clear" w:color="auto" w:fill="FFFFFF"/>
        <w:rPr>
          <w:rFonts w:asciiTheme="minorHAnsi" w:hAnsiTheme="minorHAnsi" w:cstheme="minorHAnsi"/>
          <w:b/>
          <w:color w:val="2A2A2A"/>
          <w:sz w:val="32"/>
          <w:szCs w:val="32"/>
        </w:rPr>
      </w:pPr>
      <w:r w:rsidRPr="00430052">
        <w:rPr>
          <w:rFonts w:asciiTheme="minorHAnsi" w:hAnsiTheme="minorHAnsi" w:cstheme="minorHAnsi"/>
          <w:b/>
          <w:color w:val="2A2A2A"/>
          <w:sz w:val="32"/>
          <w:szCs w:val="32"/>
        </w:rPr>
        <w:t>Risk Tip Sheet 1</w:t>
      </w:r>
    </w:p>
    <w:p w14:paraId="09A5A108" w14:textId="77777777" w:rsidR="004D7B83" w:rsidRPr="002A698E" w:rsidRDefault="004E76BC" w:rsidP="004D7B83">
      <w:pPr>
        <w:pStyle w:val="NormalWeb"/>
        <w:shd w:val="clear" w:color="auto" w:fill="FFFFFF"/>
        <w:rPr>
          <w:rFonts w:asciiTheme="minorHAnsi" w:hAnsiTheme="minorHAnsi" w:cstheme="minorHAnsi"/>
          <w:b/>
          <w:color w:val="2A2A2A"/>
        </w:rPr>
      </w:pPr>
      <w:r w:rsidRPr="002A698E">
        <w:rPr>
          <w:rFonts w:asciiTheme="minorHAnsi" w:hAnsiTheme="minorHAnsi" w:cstheme="minorHAnsi"/>
          <w:b/>
          <w:color w:val="2A2A2A"/>
        </w:rPr>
        <w:t>What is T</w:t>
      </w:r>
      <w:r w:rsidR="004D7B83" w:rsidRPr="002A698E">
        <w:rPr>
          <w:rFonts w:asciiTheme="minorHAnsi" w:hAnsiTheme="minorHAnsi" w:cstheme="minorHAnsi"/>
          <w:b/>
          <w:color w:val="2A2A2A"/>
        </w:rPr>
        <w:t>he Cures Act Final Rule?</w:t>
      </w:r>
    </w:p>
    <w:p w14:paraId="321F52E6" w14:textId="3E2614FA" w:rsidR="0069471D" w:rsidRPr="002A698E" w:rsidRDefault="001B3B67" w:rsidP="004D7B83">
      <w:pPr>
        <w:pStyle w:val="NormalWeb"/>
        <w:shd w:val="clear" w:color="auto" w:fill="FFFFFF"/>
        <w:rPr>
          <w:rFonts w:asciiTheme="minorHAnsi" w:hAnsiTheme="minorHAnsi" w:cstheme="minorHAnsi"/>
          <w:color w:val="2A2A2A"/>
        </w:rPr>
      </w:pPr>
      <w:r w:rsidRPr="000957A6">
        <w:rPr>
          <w:rFonts w:asciiTheme="minorHAnsi" w:hAnsiTheme="minorHAnsi" w:cstheme="minorHAnsi"/>
          <w:color w:val="2A2A2A"/>
        </w:rPr>
        <w:t xml:space="preserve">The </w:t>
      </w:r>
      <w:r w:rsidR="004D7B83" w:rsidRPr="000957A6">
        <w:rPr>
          <w:rFonts w:asciiTheme="minorHAnsi" w:hAnsiTheme="minorHAnsi" w:cstheme="minorHAnsi"/>
          <w:color w:val="2A2A2A"/>
        </w:rPr>
        <w:t xml:space="preserve">Cures Act </w:t>
      </w:r>
      <w:r w:rsidR="00422C7B" w:rsidRPr="000957A6">
        <w:rPr>
          <w:rFonts w:asciiTheme="minorHAnsi" w:hAnsiTheme="minorHAnsi" w:cstheme="minorHAnsi"/>
          <w:color w:val="2A2A2A"/>
        </w:rPr>
        <w:t>F</w:t>
      </w:r>
      <w:r w:rsidRPr="000957A6">
        <w:rPr>
          <w:rFonts w:asciiTheme="minorHAnsi" w:hAnsiTheme="minorHAnsi" w:cstheme="minorHAnsi"/>
          <w:color w:val="2A2A2A"/>
        </w:rPr>
        <w:t xml:space="preserve">inal </w:t>
      </w:r>
      <w:r w:rsidR="00422C7B" w:rsidRPr="000957A6">
        <w:rPr>
          <w:rFonts w:asciiTheme="minorHAnsi" w:hAnsiTheme="minorHAnsi" w:cstheme="minorHAnsi"/>
          <w:color w:val="2A2A2A"/>
        </w:rPr>
        <w:t>R</w:t>
      </w:r>
      <w:r w:rsidRPr="000957A6">
        <w:rPr>
          <w:rFonts w:asciiTheme="minorHAnsi" w:hAnsiTheme="minorHAnsi" w:cstheme="minorHAnsi"/>
          <w:color w:val="2A2A2A"/>
        </w:rPr>
        <w:t>ule</w:t>
      </w:r>
      <w:r w:rsidR="004D7B83" w:rsidRPr="000957A6">
        <w:rPr>
          <w:rFonts w:asciiTheme="minorHAnsi" w:hAnsiTheme="minorHAnsi" w:cstheme="minorHAnsi"/>
          <w:color w:val="2A2A2A"/>
        </w:rPr>
        <w:t xml:space="preserve"> </w:t>
      </w:r>
      <w:r w:rsidR="00422C7B" w:rsidRPr="000957A6">
        <w:rPr>
          <w:rFonts w:asciiTheme="minorHAnsi" w:hAnsiTheme="minorHAnsi" w:cstheme="minorHAnsi"/>
          <w:color w:val="2A2A2A"/>
        </w:rPr>
        <w:t xml:space="preserve">focuses on allowing </w:t>
      </w:r>
      <w:r w:rsidRPr="000957A6">
        <w:rPr>
          <w:rFonts w:asciiTheme="minorHAnsi" w:hAnsiTheme="minorHAnsi" w:cstheme="minorHAnsi"/>
          <w:color w:val="2A2A2A"/>
        </w:rPr>
        <w:t>patient</w:t>
      </w:r>
      <w:r w:rsidR="004E76BC" w:rsidRPr="000957A6">
        <w:rPr>
          <w:rFonts w:asciiTheme="minorHAnsi" w:hAnsiTheme="minorHAnsi" w:cstheme="minorHAnsi"/>
          <w:color w:val="2A2A2A"/>
        </w:rPr>
        <w:t>s timely</w:t>
      </w:r>
      <w:r w:rsidR="00422C7B" w:rsidRPr="000957A6">
        <w:rPr>
          <w:rFonts w:asciiTheme="minorHAnsi" w:hAnsiTheme="minorHAnsi" w:cstheme="minorHAnsi"/>
          <w:color w:val="2A2A2A"/>
        </w:rPr>
        <w:t xml:space="preserve"> access</w:t>
      </w:r>
      <w:r w:rsidRPr="000957A6">
        <w:rPr>
          <w:rFonts w:asciiTheme="minorHAnsi" w:hAnsiTheme="minorHAnsi" w:cstheme="minorHAnsi"/>
          <w:color w:val="2A2A2A"/>
        </w:rPr>
        <w:t xml:space="preserve"> </w:t>
      </w:r>
      <w:r w:rsidR="004E76BC" w:rsidRPr="000957A6">
        <w:rPr>
          <w:rFonts w:asciiTheme="minorHAnsi" w:hAnsiTheme="minorHAnsi" w:cstheme="minorHAnsi"/>
          <w:color w:val="2A2A2A"/>
        </w:rPr>
        <w:t>to their</w:t>
      </w:r>
      <w:r w:rsidRPr="000957A6">
        <w:rPr>
          <w:rFonts w:asciiTheme="minorHAnsi" w:hAnsiTheme="minorHAnsi" w:cstheme="minorHAnsi"/>
          <w:color w:val="2A2A2A"/>
        </w:rPr>
        <w:t xml:space="preserve"> electronic health record</w:t>
      </w:r>
      <w:r w:rsidR="00E3351F">
        <w:rPr>
          <w:rFonts w:asciiTheme="minorHAnsi" w:hAnsiTheme="minorHAnsi" w:cstheme="minorHAnsi"/>
          <w:color w:val="2A2A2A"/>
        </w:rPr>
        <w:t xml:space="preserve">.  </w:t>
      </w:r>
      <w:r w:rsidR="00E3351F" w:rsidRPr="00680690">
        <w:rPr>
          <w:rFonts w:asciiTheme="minorHAnsi" w:hAnsiTheme="minorHAnsi" w:cstheme="minorHAnsi"/>
          <w:color w:val="2A2A2A"/>
        </w:rPr>
        <w:t xml:space="preserve">The intention </w:t>
      </w:r>
      <w:r w:rsidR="00661B55">
        <w:rPr>
          <w:rFonts w:asciiTheme="minorHAnsi" w:hAnsiTheme="minorHAnsi" w:cstheme="minorHAnsi"/>
          <w:color w:val="2A2A2A"/>
        </w:rPr>
        <w:t xml:space="preserve">of the Cures Act </w:t>
      </w:r>
      <w:r w:rsidR="00680690" w:rsidRPr="00680690">
        <w:rPr>
          <w:rFonts w:asciiTheme="minorHAnsi" w:hAnsiTheme="minorHAnsi" w:cstheme="minorHAnsi"/>
          <w:color w:val="2A2A2A"/>
        </w:rPr>
        <w:t>is to remove</w:t>
      </w:r>
      <w:r w:rsidR="004E76BC" w:rsidRPr="00680690">
        <w:rPr>
          <w:rFonts w:asciiTheme="minorHAnsi" w:hAnsiTheme="minorHAnsi" w:cstheme="minorHAnsi"/>
          <w:color w:val="333333"/>
        </w:rPr>
        <w:t xml:space="preserve"> delays related to traditional medical record requests</w:t>
      </w:r>
      <w:r w:rsidR="00661B55">
        <w:rPr>
          <w:rFonts w:asciiTheme="minorHAnsi" w:hAnsiTheme="minorHAnsi" w:cstheme="minorHAnsi"/>
          <w:color w:val="2A2A2A"/>
        </w:rPr>
        <w:t xml:space="preserve"> </w:t>
      </w:r>
      <w:r w:rsidR="004E76BC" w:rsidRPr="00680690">
        <w:rPr>
          <w:rFonts w:asciiTheme="minorHAnsi" w:hAnsiTheme="minorHAnsi" w:cstheme="minorHAnsi"/>
          <w:color w:val="2A2A2A"/>
        </w:rPr>
        <w:t xml:space="preserve">and support sharing of </w:t>
      </w:r>
      <w:r w:rsidR="00661B55">
        <w:rPr>
          <w:rFonts w:asciiTheme="minorHAnsi" w:hAnsiTheme="minorHAnsi" w:cstheme="minorHAnsi"/>
          <w:color w:val="2A2A2A"/>
        </w:rPr>
        <w:t xml:space="preserve">said </w:t>
      </w:r>
      <w:r w:rsidR="004E76BC" w:rsidRPr="00680690">
        <w:rPr>
          <w:rFonts w:asciiTheme="minorHAnsi" w:hAnsiTheme="minorHAnsi" w:cstheme="minorHAnsi"/>
          <w:color w:val="2A2A2A"/>
        </w:rPr>
        <w:t xml:space="preserve">medical information. </w:t>
      </w:r>
      <w:r w:rsidR="0069471D" w:rsidRPr="00680690">
        <w:rPr>
          <w:rFonts w:asciiTheme="minorHAnsi" w:hAnsiTheme="minorHAnsi" w:cstheme="minorHAnsi"/>
          <w:color w:val="333333"/>
          <w:shd w:val="clear" w:color="auto" w:fill="FFFFFF"/>
        </w:rPr>
        <w:t>IB requirement</w:t>
      </w:r>
      <w:r w:rsidR="00E3351F" w:rsidRPr="00680690">
        <w:rPr>
          <w:rFonts w:asciiTheme="minorHAnsi" w:hAnsiTheme="minorHAnsi" w:cstheme="minorHAnsi"/>
          <w:color w:val="333333"/>
          <w:shd w:val="clear" w:color="auto" w:fill="FFFFFF"/>
        </w:rPr>
        <w:t>s</w:t>
      </w:r>
      <w:r w:rsidR="0069471D" w:rsidRPr="00680690">
        <w:rPr>
          <w:rFonts w:asciiTheme="minorHAnsi" w:hAnsiTheme="minorHAnsi" w:cstheme="minorHAnsi"/>
          <w:color w:val="333333"/>
          <w:shd w:val="clear" w:color="auto" w:fill="FFFFFF"/>
        </w:rPr>
        <w:t xml:space="preserve"> are</w:t>
      </w:r>
      <w:r w:rsidR="0069471D" w:rsidRPr="000957A6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4E76BC" w:rsidRPr="000957A6">
        <w:rPr>
          <w:rFonts w:asciiTheme="minorHAnsi" w:hAnsiTheme="minorHAnsi" w:cstheme="minorHAnsi"/>
          <w:color w:val="333333"/>
          <w:shd w:val="clear" w:color="auto" w:fill="FFFFFF"/>
        </w:rPr>
        <w:t>in addition to</w:t>
      </w:r>
      <w:r w:rsidR="0069471D" w:rsidRPr="000957A6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221B9E" w:rsidRPr="000957A6">
        <w:rPr>
          <w:rFonts w:asciiTheme="minorHAnsi" w:hAnsiTheme="minorHAnsi" w:cstheme="minorHAnsi"/>
          <w:color w:val="333333"/>
          <w:shd w:val="clear" w:color="auto" w:fill="FFFFFF"/>
        </w:rPr>
        <w:t>existing</w:t>
      </w:r>
      <w:r w:rsidR="0069471D" w:rsidRPr="000957A6">
        <w:rPr>
          <w:rFonts w:asciiTheme="minorHAnsi" w:hAnsiTheme="minorHAnsi" w:cstheme="minorHAnsi"/>
          <w:color w:val="333333"/>
          <w:shd w:val="clear" w:color="auto" w:fill="FFFFFF"/>
        </w:rPr>
        <w:t xml:space="preserve"> HIPAA reg</w:t>
      </w:r>
      <w:r w:rsidR="004E76BC" w:rsidRPr="000957A6">
        <w:rPr>
          <w:rFonts w:asciiTheme="minorHAnsi" w:hAnsiTheme="minorHAnsi" w:cstheme="minorHAnsi"/>
          <w:color w:val="333333"/>
          <w:shd w:val="clear" w:color="auto" w:fill="FFFFFF"/>
        </w:rPr>
        <w:t>ulations and exclude</w:t>
      </w:r>
      <w:r w:rsidR="0069471D" w:rsidRPr="000957A6">
        <w:rPr>
          <w:rFonts w:asciiTheme="minorHAnsi" w:hAnsiTheme="minorHAnsi" w:cstheme="minorHAnsi"/>
          <w:color w:val="333333"/>
          <w:shd w:val="clear" w:color="auto" w:fill="FFFFFF"/>
        </w:rPr>
        <w:t xml:space="preserve"> psychotherapy notes, info</w:t>
      </w:r>
      <w:r w:rsidR="004E76BC" w:rsidRPr="000957A6">
        <w:rPr>
          <w:rFonts w:asciiTheme="minorHAnsi" w:hAnsiTheme="minorHAnsi" w:cstheme="minorHAnsi"/>
          <w:color w:val="333333"/>
          <w:shd w:val="clear" w:color="auto" w:fill="FFFFFF"/>
        </w:rPr>
        <w:t>rmation</w:t>
      </w:r>
      <w:r w:rsidR="0069471D" w:rsidRPr="000957A6">
        <w:rPr>
          <w:rFonts w:asciiTheme="minorHAnsi" w:hAnsiTheme="minorHAnsi" w:cstheme="minorHAnsi"/>
          <w:color w:val="333333"/>
          <w:shd w:val="clear" w:color="auto" w:fill="FFFFFF"/>
        </w:rPr>
        <w:t xml:space="preserve"> compiled in anticipation of litigation</w:t>
      </w:r>
      <w:r w:rsidR="00FC5283" w:rsidRPr="000957A6">
        <w:rPr>
          <w:rFonts w:asciiTheme="minorHAnsi" w:hAnsiTheme="minorHAnsi" w:cstheme="minorHAnsi"/>
          <w:color w:val="333333"/>
          <w:shd w:val="clear" w:color="auto" w:fill="FFFFFF"/>
        </w:rPr>
        <w:t xml:space="preserve"> (civil, criminal admin action/proceeding)</w:t>
      </w:r>
      <w:r w:rsidR="0069471D" w:rsidRPr="000957A6">
        <w:rPr>
          <w:rFonts w:asciiTheme="minorHAnsi" w:hAnsiTheme="minorHAnsi" w:cstheme="minorHAnsi"/>
          <w:color w:val="333333"/>
          <w:shd w:val="clear" w:color="auto" w:fill="FFFFFF"/>
        </w:rPr>
        <w:t xml:space="preserve"> or de-</w:t>
      </w:r>
      <w:r w:rsidR="00221B9E" w:rsidRPr="000957A6">
        <w:rPr>
          <w:rFonts w:asciiTheme="minorHAnsi" w:hAnsiTheme="minorHAnsi" w:cstheme="minorHAnsi"/>
          <w:color w:val="333333"/>
          <w:shd w:val="clear" w:color="auto" w:fill="FFFFFF"/>
        </w:rPr>
        <w:t>identified</w:t>
      </w:r>
      <w:r w:rsidR="0069471D" w:rsidRPr="000957A6">
        <w:rPr>
          <w:rFonts w:asciiTheme="minorHAnsi" w:hAnsiTheme="minorHAnsi" w:cstheme="minorHAnsi"/>
          <w:color w:val="333333"/>
          <w:shd w:val="clear" w:color="auto" w:fill="FFFFFF"/>
        </w:rPr>
        <w:t xml:space="preserve"> data.</w:t>
      </w:r>
    </w:p>
    <w:p w14:paraId="76BC14B9" w14:textId="1091931E" w:rsidR="0069471D" w:rsidRPr="002A698E" w:rsidRDefault="0069471D" w:rsidP="004D7B83">
      <w:pPr>
        <w:pStyle w:val="NormalWeb"/>
        <w:shd w:val="clear" w:color="auto" w:fill="FFFFFF"/>
        <w:rPr>
          <w:rFonts w:asciiTheme="minorHAnsi" w:hAnsiTheme="minorHAnsi" w:cstheme="minorHAnsi"/>
          <w:color w:val="1B1B1B"/>
        </w:rPr>
      </w:pPr>
      <w:r w:rsidRPr="002A698E">
        <w:rPr>
          <w:rFonts w:asciiTheme="minorHAnsi" w:hAnsiTheme="minorHAnsi" w:cstheme="minorHAnsi"/>
          <w:color w:val="333333"/>
          <w:shd w:val="clear" w:color="auto" w:fill="FFFFFF"/>
        </w:rPr>
        <w:t>Rules specify that clinical notes must not be blocked</w:t>
      </w:r>
      <w:r w:rsidR="00680690">
        <w:rPr>
          <w:rFonts w:asciiTheme="minorHAnsi" w:hAnsiTheme="minorHAnsi" w:cstheme="minorHAnsi"/>
          <w:color w:val="333333"/>
          <w:shd w:val="clear" w:color="auto" w:fill="FFFFFF"/>
        </w:rPr>
        <w:t xml:space="preserve"> and </w:t>
      </w:r>
      <w:r w:rsidRPr="002A698E">
        <w:rPr>
          <w:rFonts w:asciiTheme="minorHAnsi" w:hAnsiTheme="minorHAnsi" w:cstheme="minorHAnsi"/>
          <w:color w:val="333333"/>
          <w:shd w:val="clear" w:color="auto" w:fill="FFFFFF"/>
        </w:rPr>
        <w:t xml:space="preserve">must be made available free of charge to patients.  </w:t>
      </w:r>
      <w:r w:rsidR="004E76BC" w:rsidRPr="002A698E">
        <w:rPr>
          <w:rFonts w:asciiTheme="minorHAnsi" w:hAnsiTheme="minorHAnsi" w:cstheme="minorHAnsi"/>
          <w:color w:val="333333"/>
          <w:shd w:val="clear" w:color="auto" w:fill="FFFFFF"/>
        </w:rPr>
        <w:t>Clinical notes are defined as:</w:t>
      </w:r>
      <w:r w:rsidRPr="002A698E">
        <w:rPr>
          <w:rFonts w:asciiTheme="minorHAnsi" w:hAnsiTheme="minorHAnsi" w:cstheme="minorHAnsi"/>
          <w:color w:val="333333"/>
          <w:shd w:val="clear" w:color="auto" w:fill="FFFFFF"/>
        </w:rPr>
        <w:t xml:space="preserve"> consultation notes, discharge summary notes, history &amp; physical, imaging narratives, lab report narratives, path</w:t>
      </w:r>
      <w:r w:rsidR="00FC5283" w:rsidRPr="002A698E">
        <w:rPr>
          <w:rFonts w:asciiTheme="minorHAnsi" w:hAnsiTheme="minorHAnsi" w:cstheme="minorHAnsi"/>
          <w:color w:val="333333"/>
          <w:shd w:val="clear" w:color="auto" w:fill="FFFFFF"/>
        </w:rPr>
        <w:t>ology report narratives, procedure notes and progress notes created by doctors, nurses, PAs and a broad range of therapists.</w:t>
      </w:r>
    </w:p>
    <w:p w14:paraId="2873EEE0" w14:textId="77777777" w:rsidR="004D7B83" w:rsidRPr="002A698E" w:rsidRDefault="004D7B83" w:rsidP="004D7B83">
      <w:pPr>
        <w:pStyle w:val="NormalWeb"/>
        <w:shd w:val="clear" w:color="auto" w:fill="FFFFFF"/>
        <w:rPr>
          <w:rFonts w:asciiTheme="minorHAnsi" w:hAnsiTheme="minorHAnsi" w:cstheme="minorHAnsi"/>
          <w:b/>
          <w:color w:val="1B1B1B"/>
        </w:rPr>
      </w:pPr>
      <w:r w:rsidRPr="002A698E">
        <w:rPr>
          <w:rFonts w:asciiTheme="minorHAnsi" w:hAnsiTheme="minorHAnsi" w:cstheme="minorHAnsi"/>
          <w:b/>
          <w:color w:val="1B1B1B"/>
        </w:rPr>
        <w:t>When does it apply?</w:t>
      </w:r>
    </w:p>
    <w:p w14:paraId="029FCFFC" w14:textId="4B7AF6DD" w:rsidR="004D7B83" w:rsidRPr="002A698E" w:rsidRDefault="000957A6" w:rsidP="004D7B83">
      <w:pPr>
        <w:pStyle w:val="NormalWeb"/>
        <w:shd w:val="clear" w:color="auto" w:fill="FFFFFF"/>
        <w:rPr>
          <w:rFonts w:asciiTheme="minorHAnsi" w:hAnsiTheme="minorHAnsi" w:cstheme="minorHAnsi"/>
          <w:color w:val="2A2A2A"/>
        </w:rPr>
      </w:pPr>
      <w:r>
        <w:t>April 5, 2021</w:t>
      </w:r>
    </w:p>
    <w:p w14:paraId="14FF8DC2" w14:textId="1056221E" w:rsidR="005045B8" w:rsidRPr="00680690" w:rsidRDefault="005045B8" w:rsidP="00E4557E">
      <w:pPr>
        <w:rPr>
          <w:rFonts w:cstheme="minorHAnsi"/>
          <w:color w:val="2A2A2A"/>
          <w:sz w:val="24"/>
          <w:szCs w:val="24"/>
          <w:shd w:val="clear" w:color="auto" w:fill="FFFFFF"/>
        </w:rPr>
      </w:pPr>
      <w:r w:rsidRPr="002A698E">
        <w:rPr>
          <w:rFonts w:cstheme="minorHAnsi"/>
          <w:b/>
          <w:color w:val="2A2A2A"/>
          <w:sz w:val="24"/>
          <w:szCs w:val="24"/>
          <w:shd w:val="clear" w:color="auto" w:fill="FFFFFF"/>
        </w:rPr>
        <w:t>Eight E</w:t>
      </w:r>
      <w:r w:rsidR="003070A1" w:rsidRPr="002A698E">
        <w:rPr>
          <w:rFonts w:cstheme="minorHAnsi"/>
          <w:b/>
          <w:color w:val="2A2A2A"/>
          <w:sz w:val="24"/>
          <w:szCs w:val="24"/>
          <w:shd w:val="clear" w:color="auto" w:fill="FFFFFF"/>
        </w:rPr>
        <w:t>xceptions</w:t>
      </w:r>
      <w:r w:rsidR="004D7B83" w:rsidRPr="002A698E">
        <w:rPr>
          <w:rFonts w:cstheme="minorHAnsi"/>
          <w:b/>
          <w:color w:val="2A2A2A"/>
          <w:sz w:val="24"/>
          <w:szCs w:val="24"/>
          <w:shd w:val="clear" w:color="auto" w:fill="FFFFFF"/>
        </w:rPr>
        <w:t xml:space="preserve"> to the Cures Act</w:t>
      </w:r>
      <w:r w:rsidR="004D7B83" w:rsidRPr="00680690">
        <w:rPr>
          <w:rFonts w:cstheme="minorHAnsi"/>
          <w:color w:val="2A2A2A"/>
          <w:sz w:val="24"/>
          <w:szCs w:val="24"/>
          <w:shd w:val="clear" w:color="auto" w:fill="FFFFFF"/>
        </w:rPr>
        <w:t>:</w:t>
      </w:r>
      <w:r w:rsidR="00E3351F" w:rsidRPr="00680690">
        <w:rPr>
          <w:rFonts w:cstheme="minorHAnsi"/>
          <w:color w:val="2A2A2A"/>
          <w:sz w:val="24"/>
          <w:szCs w:val="24"/>
          <w:shd w:val="clear" w:color="auto" w:fill="FFFFFF"/>
        </w:rPr>
        <w:t xml:space="preserve">   </w:t>
      </w:r>
    </w:p>
    <w:p w14:paraId="19259E4C" w14:textId="4281DA25" w:rsidR="0092339C" w:rsidRDefault="00CC7112" w:rsidP="0092339C">
      <w:pPr>
        <w:shd w:val="clear" w:color="auto" w:fill="FFFFFF"/>
        <w:spacing w:after="120" w:line="240" w:lineRule="auto"/>
        <w:rPr>
          <w:rFonts w:ascii="Arial" w:hAnsi="Arial" w:cs="Arial"/>
          <w:color w:val="202124"/>
          <w:shd w:val="clear" w:color="auto" w:fill="FFFFFF"/>
        </w:rPr>
      </w:pPr>
      <w:r w:rsidRPr="002A698E">
        <w:rPr>
          <w:rFonts w:eastAsia="Times New Roman" w:cstheme="minorHAnsi"/>
          <w:color w:val="2A2A2A"/>
          <w:sz w:val="24"/>
          <w:szCs w:val="24"/>
        </w:rPr>
        <w:t>An actor’s practice that does not meet the condition(s) of an exception will </w:t>
      </w:r>
      <w:r w:rsidRPr="002A698E">
        <w:rPr>
          <w:rFonts w:eastAsia="Times New Roman" w:cstheme="minorHAnsi"/>
          <w:i/>
          <w:iCs/>
          <w:color w:val="2A2A2A"/>
          <w:sz w:val="24"/>
          <w:szCs w:val="24"/>
        </w:rPr>
        <w:t>not</w:t>
      </w:r>
      <w:r w:rsidRPr="002A698E">
        <w:rPr>
          <w:rFonts w:eastAsia="Times New Roman" w:cstheme="minorHAnsi"/>
          <w:color w:val="2A2A2A"/>
          <w:sz w:val="24"/>
          <w:szCs w:val="24"/>
        </w:rPr>
        <w:t> automatically constitute information blocking.</w:t>
      </w:r>
      <w:r w:rsidR="002F4119" w:rsidRPr="002A698E">
        <w:rPr>
          <w:rFonts w:eastAsia="Times New Roman" w:cstheme="minorHAnsi"/>
          <w:color w:val="2A2A2A"/>
          <w:sz w:val="24"/>
          <w:szCs w:val="24"/>
        </w:rPr>
        <w:t xml:space="preserve">  </w:t>
      </w:r>
      <w:r w:rsidR="00661B55">
        <w:rPr>
          <w:rFonts w:eastAsia="Times New Roman" w:cstheme="minorHAnsi"/>
          <w:color w:val="2A2A2A"/>
          <w:sz w:val="24"/>
          <w:szCs w:val="24"/>
        </w:rPr>
        <w:t>The Office of the National Coordinator (</w:t>
      </w:r>
      <w:r w:rsidR="0092339C" w:rsidRPr="00680690">
        <w:rPr>
          <w:rFonts w:ascii="Arial" w:hAnsi="Arial" w:cs="Arial"/>
          <w:bCs/>
          <w:color w:val="202124"/>
          <w:shd w:val="clear" w:color="auto" w:fill="FFFFFF"/>
        </w:rPr>
        <w:t>ONC</w:t>
      </w:r>
      <w:r w:rsidR="00661B55">
        <w:rPr>
          <w:rFonts w:ascii="Arial" w:hAnsi="Arial" w:cs="Arial"/>
          <w:bCs/>
          <w:color w:val="202124"/>
          <w:shd w:val="clear" w:color="auto" w:fill="FFFFFF"/>
        </w:rPr>
        <w:t>)</w:t>
      </w:r>
      <w:r w:rsidR="0092339C" w:rsidRPr="00680690">
        <w:rPr>
          <w:rFonts w:ascii="Arial" w:hAnsi="Arial" w:cs="Arial"/>
          <w:color w:val="202124"/>
          <w:shd w:val="clear" w:color="auto" w:fill="FFFFFF"/>
        </w:rPr>
        <w:t> describes "</w:t>
      </w:r>
      <w:r w:rsidR="0092339C" w:rsidRPr="00680690">
        <w:rPr>
          <w:rFonts w:ascii="Arial" w:hAnsi="Arial" w:cs="Arial"/>
          <w:bCs/>
          <w:color w:val="202124"/>
          <w:shd w:val="clear" w:color="auto" w:fill="FFFFFF"/>
        </w:rPr>
        <w:t>actors</w:t>
      </w:r>
      <w:r w:rsidR="0092339C" w:rsidRPr="00680690">
        <w:rPr>
          <w:rFonts w:ascii="Arial" w:hAnsi="Arial" w:cs="Arial"/>
          <w:color w:val="202124"/>
          <w:shd w:val="clear" w:color="auto" w:fill="FFFFFF"/>
        </w:rPr>
        <w:t>"</w:t>
      </w:r>
      <w:r w:rsidR="0092339C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B57942">
        <w:rPr>
          <w:rFonts w:ascii="Arial" w:hAnsi="Arial" w:cs="Arial"/>
          <w:color w:val="202124"/>
          <w:shd w:val="clear" w:color="auto" w:fill="FFFFFF"/>
        </w:rPr>
        <w:t>as: health care providers</w:t>
      </w:r>
      <w:r w:rsidR="0092339C">
        <w:rPr>
          <w:rFonts w:ascii="Arial" w:hAnsi="Arial" w:cs="Arial"/>
          <w:color w:val="202124"/>
          <w:shd w:val="clear" w:color="auto" w:fill="FFFFFF"/>
        </w:rPr>
        <w:t xml:space="preserve">; health IT developers of certified health IT; and </w:t>
      </w:r>
      <w:r w:rsidR="00B57942">
        <w:rPr>
          <w:rFonts w:ascii="Arial" w:hAnsi="Arial" w:cs="Arial"/>
          <w:color w:val="202124"/>
          <w:shd w:val="clear" w:color="auto" w:fill="FFFFFF"/>
        </w:rPr>
        <w:t>Health Information Networks/ Health Information Exchanges (</w:t>
      </w:r>
      <w:r w:rsidR="0092339C">
        <w:rPr>
          <w:rFonts w:ascii="Arial" w:hAnsi="Arial" w:cs="Arial"/>
          <w:color w:val="202124"/>
          <w:shd w:val="clear" w:color="auto" w:fill="FFFFFF"/>
        </w:rPr>
        <w:t>HIN/HIEs</w:t>
      </w:r>
      <w:r w:rsidR="00B57942">
        <w:rPr>
          <w:rFonts w:ascii="Arial" w:hAnsi="Arial" w:cs="Arial"/>
          <w:color w:val="202124"/>
          <w:shd w:val="clear" w:color="auto" w:fill="FFFFFF"/>
        </w:rPr>
        <w:t>)</w:t>
      </w:r>
      <w:r w:rsidR="0092339C">
        <w:rPr>
          <w:rFonts w:ascii="Arial" w:hAnsi="Arial" w:cs="Arial"/>
          <w:color w:val="202124"/>
          <w:shd w:val="clear" w:color="auto" w:fill="FFFFFF"/>
        </w:rPr>
        <w:t>.  For more detailed information clarifying the term “actors”:</w:t>
      </w:r>
      <w:hyperlink r:id="rId5" w:history="1">
        <w:r w:rsidR="0092339C" w:rsidRPr="009818E7">
          <w:rPr>
            <w:rStyle w:val="Hyperlink"/>
            <w:rFonts w:ascii="Arial" w:hAnsi="Arial" w:cs="Arial"/>
            <w:shd w:val="clear" w:color="auto" w:fill="FFFFFF"/>
          </w:rPr>
          <w:t>https://www.healthit.gov/buzz-blog/information-blocking/pssst-information-blocking-practices-your-days-are-numberedpass-it-on</w:t>
        </w:r>
      </w:hyperlink>
      <w:r w:rsidR="0092339C">
        <w:rPr>
          <w:rFonts w:ascii="Arial" w:hAnsi="Arial" w:cs="Arial"/>
          <w:color w:val="202124"/>
          <w:shd w:val="clear" w:color="auto" w:fill="FFFFFF"/>
        </w:rPr>
        <w:t xml:space="preserve"> and </w:t>
      </w:r>
      <w:r w:rsidR="0092339C" w:rsidRPr="00680690">
        <w:rPr>
          <w:rFonts w:ascii="Arial" w:hAnsi="Arial" w:cs="Arial"/>
          <w:color w:val="202124"/>
          <w:shd w:val="clear" w:color="auto" w:fill="FFFFFF"/>
        </w:rPr>
        <w:t>https://www.healthit.gov/cures/sites/default/files/cures/2020-03/InformationBlockingActors.pdf</w:t>
      </w:r>
    </w:p>
    <w:p w14:paraId="1D2CF6D6" w14:textId="77777777" w:rsidR="0092339C" w:rsidRDefault="0092339C" w:rsidP="002F4119">
      <w:pPr>
        <w:shd w:val="clear" w:color="auto" w:fill="FFFFFF"/>
        <w:spacing w:after="120" w:line="240" w:lineRule="auto"/>
        <w:rPr>
          <w:rFonts w:eastAsia="Times New Roman" w:cstheme="minorHAnsi"/>
          <w:color w:val="2A2A2A"/>
          <w:sz w:val="24"/>
          <w:szCs w:val="24"/>
        </w:rPr>
      </w:pPr>
    </w:p>
    <w:p w14:paraId="2AEE18A8" w14:textId="48165E50" w:rsidR="002F4119" w:rsidRPr="002A698E" w:rsidRDefault="002F4119" w:rsidP="002F4119">
      <w:pPr>
        <w:shd w:val="clear" w:color="auto" w:fill="FFFFFF"/>
        <w:spacing w:after="120" w:line="240" w:lineRule="auto"/>
        <w:rPr>
          <w:rFonts w:eastAsia="Times New Roman" w:cstheme="minorHAnsi"/>
          <w:color w:val="2A2A2A"/>
          <w:sz w:val="24"/>
          <w:szCs w:val="24"/>
        </w:rPr>
      </w:pPr>
      <w:r w:rsidRPr="002A698E">
        <w:rPr>
          <w:rFonts w:eastAsia="Times New Roman" w:cstheme="minorHAnsi"/>
          <w:color w:val="2A2A2A"/>
          <w:sz w:val="24"/>
          <w:szCs w:val="24"/>
        </w:rPr>
        <w:t xml:space="preserve">Exceptions are in two categories: </w:t>
      </w:r>
    </w:p>
    <w:p w14:paraId="0B349BF5" w14:textId="7D168643" w:rsidR="002F4119" w:rsidRDefault="003070A1" w:rsidP="004E76BC">
      <w:pPr>
        <w:pStyle w:val="ListParagraph"/>
        <w:numPr>
          <w:ilvl w:val="0"/>
          <w:numId w:val="28"/>
        </w:numPr>
        <w:shd w:val="clear" w:color="auto" w:fill="FFFFFF"/>
        <w:spacing w:after="120" w:line="240" w:lineRule="auto"/>
        <w:rPr>
          <w:rStyle w:val="Emphasis"/>
          <w:rFonts w:cstheme="minorHAnsi"/>
          <w:i w:val="0"/>
          <w:color w:val="2A2A2A"/>
          <w:sz w:val="24"/>
          <w:szCs w:val="24"/>
          <w:shd w:val="clear" w:color="auto" w:fill="FFFFFF"/>
        </w:rPr>
      </w:pPr>
      <w:r w:rsidRPr="002A698E">
        <w:rPr>
          <w:rStyle w:val="Emphasis"/>
          <w:rFonts w:cstheme="minorHAnsi"/>
          <w:i w:val="0"/>
          <w:color w:val="2A2A2A"/>
          <w:sz w:val="24"/>
          <w:szCs w:val="24"/>
          <w:shd w:val="clear" w:color="auto" w:fill="FFFFFF"/>
        </w:rPr>
        <w:t xml:space="preserve">Exceptions that involve not fulfilling requests </w:t>
      </w:r>
      <w:r w:rsidR="00B57942">
        <w:rPr>
          <w:rStyle w:val="Emphasis"/>
          <w:rFonts w:cstheme="minorHAnsi"/>
          <w:i w:val="0"/>
          <w:color w:val="2A2A2A"/>
          <w:sz w:val="24"/>
          <w:szCs w:val="24"/>
          <w:shd w:val="clear" w:color="auto" w:fill="FFFFFF"/>
        </w:rPr>
        <w:t>to access, exchange, or use electronic health information</w:t>
      </w:r>
      <w:r w:rsidR="00661B55">
        <w:rPr>
          <w:rStyle w:val="Emphasis"/>
          <w:rFonts w:cstheme="minorHAnsi"/>
          <w:i w:val="0"/>
          <w:color w:val="2A2A2A"/>
          <w:sz w:val="24"/>
          <w:szCs w:val="24"/>
          <w:shd w:val="clear" w:color="auto" w:fill="FFFFFF"/>
        </w:rPr>
        <w:t xml:space="preserve"> include</w:t>
      </w:r>
      <w:r w:rsidR="00B57942">
        <w:rPr>
          <w:rStyle w:val="Emphasis"/>
          <w:rFonts w:cstheme="minorHAnsi"/>
          <w:i w:val="0"/>
          <w:color w:val="2A2A2A"/>
          <w:sz w:val="24"/>
          <w:szCs w:val="24"/>
          <w:shd w:val="clear" w:color="auto" w:fill="FFFFFF"/>
        </w:rPr>
        <w:t>:</w:t>
      </w:r>
      <w:r w:rsidR="002F4119" w:rsidRPr="002A698E">
        <w:rPr>
          <w:rStyle w:val="Emphasis"/>
          <w:rFonts w:cstheme="minorHAnsi"/>
          <w:i w:val="0"/>
          <w:color w:val="2A2A2A"/>
          <w:sz w:val="24"/>
          <w:szCs w:val="24"/>
          <w:shd w:val="clear" w:color="auto" w:fill="FFFFFF"/>
        </w:rPr>
        <w:t xml:space="preserve"> </w:t>
      </w:r>
    </w:p>
    <w:p w14:paraId="0C4D250D" w14:textId="77777777" w:rsidR="0092339C" w:rsidRDefault="0092339C" w:rsidP="0092339C">
      <w:pPr>
        <w:pStyle w:val="ListParagraph"/>
        <w:numPr>
          <w:ilvl w:val="1"/>
          <w:numId w:val="28"/>
        </w:numPr>
      </w:pPr>
      <w:r>
        <w:t>Preventing Harm Exception</w:t>
      </w:r>
    </w:p>
    <w:p w14:paraId="1C0E55B3" w14:textId="77777777" w:rsidR="0092339C" w:rsidRDefault="0092339C" w:rsidP="0092339C">
      <w:pPr>
        <w:pStyle w:val="ListParagraph"/>
        <w:numPr>
          <w:ilvl w:val="1"/>
          <w:numId w:val="28"/>
        </w:numPr>
      </w:pPr>
      <w:r>
        <w:t>Privacy Exception</w:t>
      </w:r>
    </w:p>
    <w:p w14:paraId="433F92B7" w14:textId="5B35CC30" w:rsidR="0092339C" w:rsidRDefault="0092339C" w:rsidP="0092339C">
      <w:pPr>
        <w:pStyle w:val="ListParagraph"/>
        <w:numPr>
          <w:ilvl w:val="1"/>
          <w:numId w:val="28"/>
        </w:numPr>
      </w:pPr>
      <w:r>
        <w:t>Security Exception</w:t>
      </w:r>
    </w:p>
    <w:p w14:paraId="1B824857" w14:textId="629406EB" w:rsidR="0092339C" w:rsidRDefault="0092339C" w:rsidP="0092339C">
      <w:pPr>
        <w:pStyle w:val="ListParagraph"/>
        <w:numPr>
          <w:ilvl w:val="1"/>
          <w:numId w:val="28"/>
        </w:numPr>
      </w:pPr>
      <w:r>
        <w:t>Infeasibility Exception</w:t>
      </w:r>
    </w:p>
    <w:p w14:paraId="2E0E8DC9" w14:textId="77777777" w:rsidR="0092339C" w:rsidRDefault="0092339C" w:rsidP="0092339C">
      <w:pPr>
        <w:pStyle w:val="ListParagraph"/>
        <w:numPr>
          <w:ilvl w:val="1"/>
          <w:numId w:val="28"/>
        </w:numPr>
      </w:pPr>
      <w:r>
        <w:t>Health IT Performance Exception</w:t>
      </w:r>
    </w:p>
    <w:p w14:paraId="7F622EC8" w14:textId="77777777" w:rsidR="0092339C" w:rsidRDefault="0092339C" w:rsidP="0092339C">
      <w:pPr>
        <w:pStyle w:val="ListParagraph"/>
      </w:pPr>
    </w:p>
    <w:p w14:paraId="1FDE6D65" w14:textId="77777777" w:rsidR="00680690" w:rsidRPr="002A698E" w:rsidRDefault="00680690" w:rsidP="0092339C">
      <w:pPr>
        <w:pStyle w:val="ListParagraph"/>
        <w:shd w:val="clear" w:color="auto" w:fill="FFFFFF"/>
        <w:spacing w:after="120" w:line="240" w:lineRule="auto"/>
        <w:ind w:left="1440"/>
        <w:rPr>
          <w:rStyle w:val="Emphasis"/>
          <w:rFonts w:cstheme="minorHAnsi"/>
          <w:i w:val="0"/>
          <w:color w:val="2A2A2A"/>
          <w:sz w:val="24"/>
          <w:szCs w:val="24"/>
          <w:shd w:val="clear" w:color="auto" w:fill="FFFFFF"/>
        </w:rPr>
      </w:pPr>
    </w:p>
    <w:p w14:paraId="7C4FBEF2" w14:textId="2E43C91C" w:rsidR="003070A1" w:rsidRPr="0092339C" w:rsidRDefault="00661B55" w:rsidP="004E76BC">
      <w:pPr>
        <w:pStyle w:val="ListParagraph"/>
        <w:numPr>
          <w:ilvl w:val="0"/>
          <w:numId w:val="28"/>
        </w:numPr>
        <w:shd w:val="clear" w:color="auto" w:fill="FFFFFF"/>
        <w:spacing w:after="120" w:line="240" w:lineRule="auto"/>
        <w:rPr>
          <w:rFonts w:cstheme="minorHAnsi"/>
          <w:i/>
          <w:sz w:val="24"/>
          <w:szCs w:val="24"/>
        </w:rPr>
      </w:pPr>
      <w:r>
        <w:rPr>
          <w:rStyle w:val="Emphasis"/>
          <w:rFonts w:cstheme="minorHAnsi"/>
          <w:i w:val="0"/>
          <w:color w:val="2A2A2A"/>
          <w:sz w:val="24"/>
          <w:szCs w:val="24"/>
          <w:shd w:val="clear" w:color="auto" w:fill="FFFFFF"/>
        </w:rPr>
        <w:t>Exceptions that involve</w:t>
      </w:r>
      <w:r w:rsidR="003070A1" w:rsidRPr="002A698E">
        <w:rPr>
          <w:rStyle w:val="Emphasis"/>
          <w:rFonts w:cstheme="minorHAnsi"/>
          <w:i w:val="0"/>
          <w:color w:val="2A2A2A"/>
          <w:sz w:val="24"/>
          <w:szCs w:val="24"/>
          <w:shd w:val="clear" w:color="auto" w:fill="FFFFFF"/>
        </w:rPr>
        <w:t xml:space="preserve"> procedures for fulfilling requests to access, exchange, or use </w:t>
      </w:r>
      <w:r w:rsidR="00B57942">
        <w:rPr>
          <w:rStyle w:val="Emphasis"/>
          <w:rFonts w:cstheme="minorHAnsi"/>
          <w:i w:val="0"/>
          <w:color w:val="2A2A2A"/>
          <w:sz w:val="24"/>
          <w:szCs w:val="24"/>
          <w:shd w:val="clear" w:color="auto" w:fill="FFFFFF"/>
        </w:rPr>
        <w:t>electronic health information</w:t>
      </w:r>
      <w:r>
        <w:rPr>
          <w:rStyle w:val="Emphasis"/>
          <w:rFonts w:cstheme="minorHAnsi"/>
          <w:i w:val="0"/>
          <w:color w:val="2A2A2A"/>
          <w:sz w:val="24"/>
          <w:szCs w:val="24"/>
          <w:shd w:val="clear" w:color="auto" w:fill="FFFFFF"/>
        </w:rPr>
        <w:t xml:space="preserve"> include:</w:t>
      </w:r>
      <w:r w:rsidR="003070A1" w:rsidRPr="002A698E">
        <w:rPr>
          <w:rFonts w:cstheme="minorHAnsi"/>
          <w:i/>
          <w:color w:val="2A2A2A"/>
          <w:sz w:val="24"/>
          <w:szCs w:val="24"/>
          <w:shd w:val="clear" w:color="auto" w:fill="FFFFFF"/>
        </w:rPr>
        <w:t> </w:t>
      </w:r>
    </w:p>
    <w:p w14:paraId="558825DC" w14:textId="77777777" w:rsidR="0092339C" w:rsidRDefault="0092339C" w:rsidP="0092339C">
      <w:pPr>
        <w:pStyle w:val="ListParagraph"/>
        <w:numPr>
          <w:ilvl w:val="1"/>
          <w:numId w:val="28"/>
        </w:numPr>
      </w:pPr>
      <w:r>
        <w:lastRenderedPageBreak/>
        <w:t>Content and Manner Exception</w:t>
      </w:r>
    </w:p>
    <w:p w14:paraId="6321568A" w14:textId="77777777" w:rsidR="0092339C" w:rsidRDefault="0092339C" w:rsidP="0092339C">
      <w:pPr>
        <w:pStyle w:val="ListParagraph"/>
        <w:numPr>
          <w:ilvl w:val="1"/>
          <w:numId w:val="28"/>
        </w:numPr>
      </w:pPr>
      <w:r>
        <w:t>Fees Exception</w:t>
      </w:r>
    </w:p>
    <w:p w14:paraId="1101E25F" w14:textId="77777777" w:rsidR="0092339C" w:rsidRDefault="0092339C" w:rsidP="0092339C">
      <w:pPr>
        <w:pStyle w:val="ListParagraph"/>
        <w:numPr>
          <w:ilvl w:val="1"/>
          <w:numId w:val="28"/>
        </w:numPr>
      </w:pPr>
      <w:r>
        <w:t>Licensing Exception</w:t>
      </w:r>
    </w:p>
    <w:p w14:paraId="70F72D0C" w14:textId="77777777" w:rsidR="0092339C" w:rsidRPr="002A698E" w:rsidRDefault="0092339C" w:rsidP="0092339C">
      <w:pPr>
        <w:pStyle w:val="ListParagraph"/>
        <w:shd w:val="clear" w:color="auto" w:fill="FFFFFF"/>
        <w:spacing w:after="120" w:line="240" w:lineRule="auto"/>
        <w:ind w:left="1440"/>
        <w:rPr>
          <w:rFonts w:cstheme="minorHAnsi"/>
          <w:i/>
          <w:sz w:val="24"/>
          <w:szCs w:val="24"/>
        </w:rPr>
      </w:pPr>
    </w:p>
    <w:p w14:paraId="7F6F55A3" w14:textId="5363B581" w:rsidR="00680690" w:rsidRPr="00680690" w:rsidRDefault="00680690" w:rsidP="00902607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Cs/>
          <w:color w:val="444444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Cs/>
          <w:color w:val="444444"/>
          <w:sz w:val="24"/>
          <w:szCs w:val="24"/>
          <w:bdr w:val="none" w:sz="0" w:space="0" w:color="auto" w:frame="1"/>
        </w:rPr>
        <w:t>For</w:t>
      </w:r>
      <w:r w:rsidRPr="00680690">
        <w:rPr>
          <w:rFonts w:eastAsia="Times New Roman" w:cstheme="minorHAnsi"/>
          <w:bCs/>
          <w:color w:val="444444"/>
          <w:sz w:val="24"/>
          <w:szCs w:val="24"/>
          <w:bdr w:val="none" w:sz="0" w:space="0" w:color="auto" w:frame="1"/>
        </w:rPr>
        <w:t xml:space="preserve"> more detailed information about the exceptions:  https://www.healthit.gov/sites/default/files/cures/2020-03/InformationBlockingExceptions.pdf</w:t>
      </w:r>
    </w:p>
    <w:p w14:paraId="21CAB1AD" w14:textId="16F99254" w:rsidR="002F4119" w:rsidRPr="002A698E" w:rsidRDefault="00F75CD5" w:rsidP="00902607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</w:pPr>
      <w:r w:rsidRPr="002A698E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Preparing for the new Rule</w:t>
      </w:r>
      <w:r w:rsidR="004E76BC" w:rsidRPr="002A698E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:</w:t>
      </w:r>
    </w:p>
    <w:p w14:paraId="780F0CF1" w14:textId="1CEBCD07" w:rsidR="00902607" w:rsidRPr="002A698E" w:rsidRDefault="009376DF" w:rsidP="00902607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</w:pPr>
      <w:r w:rsidRPr="002A698E">
        <w:rPr>
          <w:rFonts w:eastAsia="Times New Roman" w:cstheme="minorHAnsi"/>
          <w:color w:val="444444"/>
          <w:sz w:val="24"/>
          <w:szCs w:val="24"/>
        </w:rPr>
        <w:t>B</w:t>
      </w:r>
      <w:r w:rsidR="00902607" w:rsidRPr="002A698E">
        <w:rPr>
          <w:rFonts w:eastAsia="Times New Roman" w:cstheme="minorHAnsi"/>
          <w:color w:val="444444"/>
          <w:sz w:val="24"/>
          <w:szCs w:val="24"/>
        </w:rPr>
        <w:t xml:space="preserve">egin </w:t>
      </w:r>
      <w:r w:rsidR="000957A6" w:rsidRPr="00661B55">
        <w:rPr>
          <w:rFonts w:eastAsia="Times New Roman" w:cstheme="minorHAnsi"/>
          <w:color w:val="444444"/>
          <w:sz w:val="24"/>
          <w:szCs w:val="24"/>
          <w:u w:val="single"/>
        </w:rPr>
        <w:t>NOW</w:t>
      </w:r>
      <w:r w:rsidR="000957A6" w:rsidRPr="002A698E">
        <w:rPr>
          <w:rFonts w:eastAsia="Times New Roman" w:cstheme="minorHAnsi"/>
          <w:color w:val="444444"/>
          <w:sz w:val="24"/>
          <w:szCs w:val="24"/>
        </w:rPr>
        <w:t xml:space="preserve"> </w:t>
      </w:r>
      <w:r w:rsidR="00902607" w:rsidRPr="002A698E">
        <w:rPr>
          <w:rFonts w:eastAsia="Times New Roman" w:cstheme="minorHAnsi"/>
          <w:color w:val="444444"/>
          <w:sz w:val="24"/>
          <w:szCs w:val="24"/>
        </w:rPr>
        <w:t>to prepare for the new rule by doing the following:</w:t>
      </w:r>
    </w:p>
    <w:p w14:paraId="5DF5BF58" w14:textId="7986F895" w:rsidR="007804D1" w:rsidRPr="002A698E" w:rsidRDefault="007804D1" w:rsidP="007804D1">
      <w:pPr>
        <w:numPr>
          <w:ilvl w:val="0"/>
          <w:numId w:val="9"/>
        </w:numPr>
        <w:spacing w:before="90" w:after="90" w:line="240" w:lineRule="auto"/>
        <w:textAlignment w:val="baseline"/>
        <w:rPr>
          <w:rFonts w:cstheme="minorHAnsi"/>
          <w:color w:val="2D2D2D"/>
          <w:sz w:val="24"/>
          <w:szCs w:val="24"/>
        </w:rPr>
      </w:pPr>
      <w:r w:rsidRPr="00B66D49">
        <w:rPr>
          <w:rFonts w:cstheme="minorHAnsi"/>
          <w:b/>
          <w:color w:val="2D2D2D"/>
          <w:sz w:val="24"/>
          <w:szCs w:val="24"/>
        </w:rPr>
        <w:t>Become familiar with the Cures Act</w:t>
      </w:r>
      <w:r w:rsidRPr="002A698E">
        <w:rPr>
          <w:rFonts w:cstheme="minorHAnsi"/>
          <w:color w:val="2D2D2D"/>
          <w:sz w:val="24"/>
          <w:szCs w:val="24"/>
        </w:rPr>
        <w:t xml:space="preserve"> and the proposed rules.</w:t>
      </w:r>
    </w:p>
    <w:p w14:paraId="7470643F" w14:textId="44D92356" w:rsidR="009376DF" w:rsidRPr="002A698E" w:rsidRDefault="00902607" w:rsidP="003E7B6E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2A698E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Take advantage of the new rule.</w:t>
      </w:r>
      <w:r w:rsidRPr="002A698E">
        <w:rPr>
          <w:rFonts w:eastAsia="Times New Roman" w:cstheme="minorHAnsi"/>
          <w:color w:val="444444"/>
          <w:sz w:val="24"/>
          <w:szCs w:val="24"/>
        </w:rPr>
        <w:t xml:space="preserve"> Providers should determine how the new </w:t>
      </w:r>
      <w:r w:rsidR="00744377">
        <w:rPr>
          <w:rFonts w:eastAsia="Times New Roman" w:cstheme="minorHAnsi"/>
          <w:color w:val="444444"/>
          <w:sz w:val="24"/>
          <w:szCs w:val="24"/>
        </w:rPr>
        <w:t>r</w:t>
      </w:r>
      <w:r w:rsidRPr="002A698E">
        <w:rPr>
          <w:rFonts w:eastAsia="Times New Roman" w:cstheme="minorHAnsi"/>
          <w:color w:val="444444"/>
          <w:sz w:val="24"/>
          <w:szCs w:val="24"/>
        </w:rPr>
        <w:t xml:space="preserve">ule may </w:t>
      </w:r>
      <w:r w:rsidR="00661B55">
        <w:rPr>
          <w:rFonts w:eastAsia="Times New Roman" w:cstheme="minorHAnsi"/>
          <w:color w:val="444444"/>
          <w:sz w:val="24"/>
          <w:szCs w:val="24"/>
        </w:rPr>
        <w:t xml:space="preserve">be of benefit to them.  Consider, for example, the ability </w:t>
      </w:r>
      <w:r w:rsidRPr="002A698E">
        <w:rPr>
          <w:rFonts w:eastAsia="Times New Roman" w:cstheme="minorHAnsi"/>
          <w:color w:val="444444"/>
          <w:sz w:val="24"/>
          <w:szCs w:val="24"/>
        </w:rPr>
        <w:t>to obtain access to previously u</w:t>
      </w:r>
      <w:r w:rsidR="00661B55">
        <w:rPr>
          <w:rFonts w:eastAsia="Times New Roman" w:cstheme="minorHAnsi"/>
          <w:color w:val="444444"/>
          <w:sz w:val="24"/>
          <w:szCs w:val="24"/>
        </w:rPr>
        <w:t>navailable patient information enabling a physician to provide more effective</w:t>
      </w:r>
      <w:r w:rsidRPr="002A698E">
        <w:rPr>
          <w:rFonts w:eastAsia="Times New Roman" w:cstheme="minorHAnsi"/>
          <w:color w:val="444444"/>
          <w:sz w:val="24"/>
          <w:szCs w:val="24"/>
        </w:rPr>
        <w:t xml:space="preserve"> </w:t>
      </w:r>
      <w:r w:rsidR="00744377">
        <w:rPr>
          <w:rFonts w:eastAsia="Times New Roman" w:cstheme="minorHAnsi"/>
          <w:color w:val="444444"/>
          <w:sz w:val="24"/>
          <w:szCs w:val="24"/>
        </w:rPr>
        <w:t xml:space="preserve">and </w:t>
      </w:r>
      <w:r w:rsidR="00661B55">
        <w:rPr>
          <w:rFonts w:eastAsia="Times New Roman" w:cstheme="minorHAnsi"/>
          <w:color w:val="444444"/>
          <w:sz w:val="24"/>
          <w:szCs w:val="24"/>
        </w:rPr>
        <w:t>more efficient patient care</w:t>
      </w:r>
      <w:r w:rsidRPr="002A698E">
        <w:rPr>
          <w:rFonts w:eastAsia="Times New Roman" w:cstheme="minorHAnsi"/>
          <w:color w:val="444444"/>
          <w:sz w:val="24"/>
          <w:szCs w:val="24"/>
        </w:rPr>
        <w:t xml:space="preserve">. </w:t>
      </w:r>
    </w:p>
    <w:p w14:paraId="16C2B7E8" w14:textId="27C42C32" w:rsidR="00902607" w:rsidRPr="002A698E" w:rsidRDefault="004E76BC" w:rsidP="003E7B6E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2A698E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E</w:t>
      </w:r>
      <w:r w:rsidR="00902607" w:rsidRPr="002A698E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ducate s</w:t>
      </w:r>
      <w:r w:rsidR="002F4119" w:rsidRPr="002A698E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taff</w:t>
      </w:r>
      <w:r w:rsidR="00902607" w:rsidRPr="002A698E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.</w:t>
      </w:r>
      <w:r w:rsidR="00902607" w:rsidRPr="002A698E">
        <w:rPr>
          <w:rFonts w:eastAsia="Times New Roman" w:cstheme="minorHAnsi"/>
          <w:color w:val="444444"/>
          <w:sz w:val="24"/>
          <w:szCs w:val="24"/>
        </w:rPr>
        <w:t> </w:t>
      </w:r>
      <w:r w:rsidR="002F4119" w:rsidRPr="002A698E">
        <w:rPr>
          <w:rFonts w:eastAsia="Times New Roman" w:cstheme="minorHAnsi"/>
          <w:color w:val="444444"/>
          <w:sz w:val="24"/>
          <w:szCs w:val="24"/>
        </w:rPr>
        <w:t xml:space="preserve"> I</w:t>
      </w:r>
      <w:r w:rsidR="00902607" w:rsidRPr="002A698E">
        <w:rPr>
          <w:rFonts w:eastAsia="Times New Roman" w:cstheme="minorHAnsi"/>
          <w:color w:val="444444"/>
          <w:sz w:val="24"/>
          <w:szCs w:val="24"/>
        </w:rPr>
        <w:t xml:space="preserve">dentify and educate those persons </w:t>
      </w:r>
      <w:r w:rsidR="000957A6">
        <w:rPr>
          <w:rFonts w:eastAsia="Times New Roman" w:cstheme="minorHAnsi"/>
          <w:color w:val="444444"/>
          <w:sz w:val="24"/>
          <w:szCs w:val="24"/>
        </w:rPr>
        <w:t>who</w:t>
      </w:r>
      <w:r w:rsidR="00902607" w:rsidRPr="002A698E">
        <w:rPr>
          <w:rFonts w:eastAsia="Times New Roman" w:cstheme="minorHAnsi"/>
          <w:color w:val="444444"/>
          <w:sz w:val="24"/>
          <w:szCs w:val="24"/>
        </w:rPr>
        <w:t xml:space="preserve"> will be responsible for making and responding to requests.</w:t>
      </w:r>
    </w:p>
    <w:p w14:paraId="5F370E6D" w14:textId="39A17420" w:rsidR="002A7A5C" w:rsidRPr="00B66D49" w:rsidRDefault="002A7A5C" w:rsidP="00AA380B">
      <w:pPr>
        <w:pStyle w:val="ListParagraph"/>
        <w:numPr>
          <w:ilvl w:val="1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44444"/>
          <w:sz w:val="24"/>
          <w:szCs w:val="24"/>
        </w:rPr>
      </w:pPr>
      <w:r>
        <w:rPr>
          <w:rFonts w:cstheme="minorHAnsi"/>
          <w:sz w:val="24"/>
          <w:szCs w:val="24"/>
        </w:rPr>
        <w:t>Current HIPAA training should be revised to include IB training</w:t>
      </w:r>
    </w:p>
    <w:p w14:paraId="38DC6C52" w14:textId="71AB5A8A" w:rsidR="002A7A5C" w:rsidRPr="002A698E" w:rsidRDefault="002A7A5C" w:rsidP="00AA380B">
      <w:pPr>
        <w:pStyle w:val="ListParagraph"/>
        <w:numPr>
          <w:ilvl w:val="1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44444"/>
          <w:sz w:val="24"/>
          <w:szCs w:val="24"/>
        </w:rPr>
      </w:pPr>
      <w:r>
        <w:rPr>
          <w:rFonts w:cstheme="minorHAnsi"/>
          <w:sz w:val="24"/>
          <w:szCs w:val="24"/>
        </w:rPr>
        <w:t>Conduct regular training on IB topics and document attendance</w:t>
      </w:r>
    </w:p>
    <w:p w14:paraId="055E2723" w14:textId="77777777" w:rsidR="002F4119" w:rsidRPr="002A698E" w:rsidRDefault="00902607" w:rsidP="00D837D8">
      <w:pPr>
        <w:pStyle w:val="ListParagraph"/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2A698E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Review EHI practices.</w:t>
      </w:r>
      <w:r w:rsidRPr="002A698E">
        <w:rPr>
          <w:rFonts w:eastAsia="Times New Roman" w:cstheme="minorHAnsi"/>
          <w:color w:val="444444"/>
          <w:sz w:val="24"/>
          <w:szCs w:val="24"/>
        </w:rPr>
        <w:t xml:space="preserve"> Providers will need to review and update their policies and practices concerning requests for access by patients and third parties to avoid any information blocking issues. </w:t>
      </w:r>
    </w:p>
    <w:p w14:paraId="08101F38" w14:textId="77777777" w:rsidR="002F4119" w:rsidRPr="002A698E" w:rsidRDefault="002F4119" w:rsidP="002F4119">
      <w:pPr>
        <w:numPr>
          <w:ilvl w:val="1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2A698E">
        <w:rPr>
          <w:rFonts w:eastAsia="Times New Roman" w:cstheme="minorHAnsi"/>
          <w:color w:val="444444"/>
          <w:sz w:val="24"/>
          <w:szCs w:val="24"/>
        </w:rPr>
        <w:t>D</w:t>
      </w:r>
      <w:r w:rsidR="00902607" w:rsidRPr="002A698E">
        <w:rPr>
          <w:rFonts w:eastAsia="Times New Roman" w:cstheme="minorHAnsi"/>
          <w:color w:val="444444"/>
          <w:sz w:val="24"/>
          <w:szCs w:val="24"/>
        </w:rPr>
        <w:t xml:space="preserve">o not inappropriately delay or impose unreasonable restrictions to information sharing. </w:t>
      </w:r>
    </w:p>
    <w:p w14:paraId="6D8A4EFA" w14:textId="129E48B2" w:rsidR="002F4119" w:rsidRPr="002A698E" w:rsidRDefault="002F4119" w:rsidP="002F4119">
      <w:pPr>
        <w:numPr>
          <w:ilvl w:val="1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2A698E">
        <w:rPr>
          <w:rFonts w:eastAsia="Times New Roman" w:cstheme="minorHAnsi"/>
          <w:color w:val="444444"/>
          <w:sz w:val="24"/>
          <w:szCs w:val="24"/>
        </w:rPr>
        <w:t>E</w:t>
      </w:r>
      <w:r w:rsidR="00902607" w:rsidRPr="002A698E">
        <w:rPr>
          <w:rFonts w:eastAsia="Times New Roman" w:cstheme="minorHAnsi"/>
          <w:color w:val="444444"/>
          <w:sz w:val="24"/>
          <w:szCs w:val="24"/>
        </w:rPr>
        <w:t xml:space="preserve">stablish processes for evaluating and responding to requests </w:t>
      </w:r>
      <w:r w:rsidR="00661B55">
        <w:rPr>
          <w:rFonts w:eastAsia="Times New Roman" w:cstheme="minorHAnsi"/>
          <w:color w:val="444444"/>
          <w:sz w:val="24"/>
          <w:szCs w:val="24"/>
        </w:rPr>
        <w:t>to</w:t>
      </w:r>
      <w:r w:rsidR="00902607" w:rsidRPr="002A698E">
        <w:rPr>
          <w:rFonts w:eastAsia="Times New Roman" w:cstheme="minorHAnsi"/>
          <w:color w:val="444444"/>
          <w:sz w:val="24"/>
          <w:szCs w:val="24"/>
        </w:rPr>
        <w:t xml:space="preserve"> access information and appropriate costs or limitations associated with such access.</w:t>
      </w:r>
    </w:p>
    <w:p w14:paraId="6E04D064" w14:textId="77777777" w:rsidR="00902607" w:rsidRPr="002A698E" w:rsidRDefault="002F4119" w:rsidP="002F4119">
      <w:pPr>
        <w:numPr>
          <w:ilvl w:val="1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2A698E">
        <w:rPr>
          <w:rFonts w:eastAsia="Times New Roman" w:cstheme="minorHAnsi"/>
          <w:color w:val="444444"/>
          <w:sz w:val="24"/>
          <w:szCs w:val="24"/>
        </w:rPr>
        <w:t>I</w:t>
      </w:r>
      <w:r w:rsidR="00902607" w:rsidRPr="002A698E">
        <w:rPr>
          <w:rFonts w:eastAsia="Times New Roman" w:cstheme="minorHAnsi"/>
          <w:color w:val="444444"/>
          <w:sz w:val="24"/>
          <w:szCs w:val="24"/>
        </w:rPr>
        <w:t>dentify system capabilities as well as limitations that may justify a denial of a request to share information.</w:t>
      </w:r>
    </w:p>
    <w:p w14:paraId="3AD191BD" w14:textId="77777777" w:rsidR="002F4119" w:rsidRPr="002A698E" w:rsidRDefault="00902607" w:rsidP="00902607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2A698E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Review EHI system functionality.</w:t>
      </w:r>
      <w:r w:rsidRPr="002A698E">
        <w:rPr>
          <w:rFonts w:eastAsia="Times New Roman" w:cstheme="minorHAnsi"/>
          <w:color w:val="444444"/>
          <w:sz w:val="24"/>
          <w:szCs w:val="24"/>
        </w:rPr>
        <w:t> </w:t>
      </w:r>
      <w:r w:rsidR="002F4119" w:rsidRPr="002A698E">
        <w:rPr>
          <w:rFonts w:eastAsia="Times New Roman" w:cstheme="minorHAnsi"/>
          <w:color w:val="444444"/>
          <w:sz w:val="24"/>
          <w:szCs w:val="24"/>
        </w:rPr>
        <w:t>E</w:t>
      </w:r>
      <w:r w:rsidRPr="002A698E">
        <w:rPr>
          <w:rFonts w:eastAsia="Times New Roman" w:cstheme="minorHAnsi"/>
          <w:color w:val="444444"/>
          <w:sz w:val="24"/>
          <w:szCs w:val="24"/>
        </w:rPr>
        <w:t xml:space="preserve">nsure </w:t>
      </w:r>
      <w:r w:rsidR="002F4119" w:rsidRPr="002A698E">
        <w:rPr>
          <w:rFonts w:eastAsia="Times New Roman" w:cstheme="minorHAnsi"/>
          <w:color w:val="444444"/>
          <w:sz w:val="24"/>
          <w:szCs w:val="24"/>
        </w:rPr>
        <w:t>your system doesn’t unintentionally allow for IB</w:t>
      </w:r>
      <w:r w:rsidRPr="002A698E">
        <w:rPr>
          <w:rFonts w:eastAsia="Times New Roman" w:cstheme="minorHAnsi"/>
          <w:color w:val="444444"/>
          <w:sz w:val="24"/>
          <w:szCs w:val="24"/>
        </w:rPr>
        <w:t>.</w:t>
      </w:r>
    </w:p>
    <w:p w14:paraId="14D0E5B7" w14:textId="16EDC0C1" w:rsidR="00902607" w:rsidRDefault="00902607" w:rsidP="002F4119">
      <w:pPr>
        <w:numPr>
          <w:ilvl w:val="1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2A698E">
        <w:rPr>
          <w:rFonts w:eastAsia="Times New Roman" w:cstheme="minorHAnsi"/>
          <w:color w:val="444444"/>
          <w:sz w:val="24"/>
          <w:szCs w:val="24"/>
        </w:rPr>
        <w:t>Review contracts</w:t>
      </w:r>
      <w:r w:rsidR="002F4119" w:rsidRPr="002A698E">
        <w:rPr>
          <w:rFonts w:eastAsia="Times New Roman" w:cstheme="minorHAnsi"/>
          <w:color w:val="444444"/>
          <w:sz w:val="24"/>
          <w:szCs w:val="24"/>
        </w:rPr>
        <w:t xml:space="preserve"> for terms that might</w:t>
      </w:r>
      <w:r w:rsidRPr="002A698E">
        <w:rPr>
          <w:rFonts w:eastAsia="Times New Roman" w:cstheme="minorHAnsi"/>
          <w:color w:val="444444"/>
          <w:sz w:val="24"/>
          <w:szCs w:val="24"/>
        </w:rPr>
        <w:t xml:space="preserve"> trigger the information blocking rule</w:t>
      </w:r>
      <w:r w:rsidR="00744377">
        <w:rPr>
          <w:rFonts w:eastAsia="Times New Roman" w:cstheme="minorHAnsi"/>
          <w:color w:val="444444"/>
          <w:sz w:val="24"/>
          <w:szCs w:val="24"/>
        </w:rPr>
        <w:t>;</w:t>
      </w:r>
      <w:r w:rsidRPr="002A698E">
        <w:rPr>
          <w:rFonts w:eastAsia="Times New Roman" w:cstheme="minorHAnsi"/>
          <w:color w:val="444444"/>
          <w:sz w:val="24"/>
          <w:szCs w:val="24"/>
        </w:rPr>
        <w:t xml:space="preserve"> including licensing agreements, software services, business associate agreements, and other EHI contracts.</w:t>
      </w:r>
    </w:p>
    <w:p w14:paraId="42E53EBD" w14:textId="071A56B0" w:rsidR="002A7A5C" w:rsidRPr="002A698E" w:rsidRDefault="002A7A5C" w:rsidP="002F4119">
      <w:pPr>
        <w:numPr>
          <w:ilvl w:val="1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44444"/>
          <w:sz w:val="24"/>
          <w:szCs w:val="24"/>
        </w:rPr>
      </w:pPr>
      <w:r>
        <w:rPr>
          <w:rFonts w:eastAsia="Times New Roman" w:cstheme="minorHAnsi"/>
          <w:color w:val="444444"/>
          <w:sz w:val="24"/>
          <w:szCs w:val="24"/>
        </w:rPr>
        <w:t>Compliance with the IB regulations should be included in the design, support and maintenance of your IT systems going forward</w:t>
      </w:r>
    </w:p>
    <w:p w14:paraId="2D096018" w14:textId="77777777" w:rsidR="004E76BC" w:rsidRPr="002A698E" w:rsidRDefault="00902607" w:rsidP="00902607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2A698E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Respond appropriately to requests for information sharing.</w:t>
      </w:r>
      <w:r w:rsidRPr="002A698E">
        <w:rPr>
          <w:rFonts w:eastAsia="Times New Roman" w:cstheme="minorHAnsi"/>
          <w:color w:val="444444"/>
          <w:sz w:val="24"/>
          <w:szCs w:val="24"/>
        </w:rPr>
        <w:t> </w:t>
      </w:r>
    </w:p>
    <w:p w14:paraId="5BB83E8D" w14:textId="7BB91480" w:rsidR="00902607" w:rsidRPr="002A698E" w:rsidRDefault="002F4119" w:rsidP="004E76BC">
      <w:pPr>
        <w:numPr>
          <w:ilvl w:val="1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444444"/>
          <w:sz w:val="24"/>
          <w:szCs w:val="24"/>
        </w:rPr>
      </w:pPr>
      <w:r w:rsidRPr="002A698E">
        <w:rPr>
          <w:rFonts w:eastAsia="Times New Roman" w:cstheme="minorHAnsi"/>
          <w:color w:val="444444"/>
          <w:sz w:val="24"/>
          <w:szCs w:val="24"/>
        </w:rPr>
        <w:t>Direct requests to the right staff person ensuring</w:t>
      </w:r>
      <w:r w:rsidR="00902607" w:rsidRPr="002A698E">
        <w:rPr>
          <w:rFonts w:eastAsia="Times New Roman" w:cstheme="minorHAnsi"/>
          <w:color w:val="444444"/>
          <w:sz w:val="24"/>
          <w:szCs w:val="24"/>
        </w:rPr>
        <w:t xml:space="preserve"> a timely and appropriate response is made.</w:t>
      </w:r>
    </w:p>
    <w:p w14:paraId="49DA6BF7" w14:textId="77777777" w:rsidR="0074110D" w:rsidRPr="00B66D49" w:rsidRDefault="00902607" w:rsidP="00160524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cstheme="minorHAnsi"/>
          <w:sz w:val="24"/>
          <w:szCs w:val="24"/>
        </w:rPr>
      </w:pPr>
      <w:r w:rsidRPr="002A698E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 xml:space="preserve">Watch for </w:t>
      </w:r>
      <w:r w:rsidR="004E76BC" w:rsidRPr="002A698E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 xml:space="preserve">new </w:t>
      </w:r>
      <w:r w:rsidR="004E76BC" w:rsidRPr="0074110D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</w:rPr>
        <w:t>development</w:t>
      </w:r>
      <w:r w:rsidR="0074110D" w:rsidRPr="00B66D49">
        <w:rPr>
          <w:rFonts w:eastAsia="Times New Roman" w:cstheme="minorHAnsi"/>
          <w:b/>
          <w:color w:val="444444"/>
          <w:sz w:val="24"/>
          <w:szCs w:val="24"/>
        </w:rPr>
        <w:t>s/requirements</w:t>
      </w:r>
    </w:p>
    <w:p w14:paraId="46448C27" w14:textId="27575BFE" w:rsidR="005045B8" w:rsidRPr="0074110D" w:rsidRDefault="0074110D" w:rsidP="00160524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color w:val="444444"/>
          <w:sz w:val="24"/>
          <w:szCs w:val="24"/>
        </w:rPr>
        <w:t>Review your Business Associate Agreements (BAA)</w:t>
      </w:r>
    </w:p>
    <w:p w14:paraId="4EC18158" w14:textId="5D70DC1D" w:rsidR="00C9501F" w:rsidRDefault="00C9501F" w:rsidP="00C9501F">
      <w:pPr>
        <w:pStyle w:val="ListParagraph"/>
        <w:numPr>
          <w:ilvl w:val="0"/>
          <w:numId w:val="9"/>
        </w:numPr>
        <w:spacing w:before="90" w:after="90" w:line="240" w:lineRule="auto"/>
        <w:textAlignment w:val="baseline"/>
        <w:rPr>
          <w:rFonts w:cstheme="minorHAnsi"/>
          <w:sz w:val="24"/>
          <w:szCs w:val="24"/>
        </w:rPr>
      </w:pPr>
      <w:r w:rsidRPr="00C9501F">
        <w:rPr>
          <w:rFonts w:cstheme="minorHAnsi"/>
          <w:b/>
          <w:sz w:val="24"/>
          <w:szCs w:val="24"/>
        </w:rPr>
        <w:lastRenderedPageBreak/>
        <w:t>Learn about apps.</w:t>
      </w:r>
      <w:r w:rsidRPr="00C9501F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Familiarize yo</w:t>
      </w:r>
      <w:r w:rsidRPr="00C9501F">
        <w:rPr>
          <w:rFonts w:cstheme="minorHAnsi"/>
          <w:sz w:val="24"/>
          <w:szCs w:val="24"/>
        </w:rPr>
        <w:t xml:space="preserve">urself with apps to identify ones that may be particularly helpful to your patients. </w:t>
      </w:r>
      <w:r>
        <w:rPr>
          <w:rFonts w:cstheme="minorHAnsi"/>
          <w:sz w:val="24"/>
          <w:szCs w:val="24"/>
        </w:rPr>
        <w:t>(</w:t>
      </w:r>
      <w:r w:rsidRPr="00C9501F">
        <w:rPr>
          <w:rFonts w:cstheme="minorHAnsi"/>
          <w:sz w:val="24"/>
          <w:szCs w:val="24"/>
        </w:rPr>
        <w:t>i.e. medication reminder apps</w:t>
      </w:r>
      <w:r>
        <w:rPr>
          <w:rFonts w:cstheme="minorHAnsi"/>
          <w:sz w:val="24"/>
          <w:szCs w:val="24"/>
        </w:rPr>
        <w:t>)</w:t>
      </w:r>
      <w:r w:rsidRPr="00C9501F">
        <w:rPr>
          <w:rFonts w:cstheme="minorHAnsi"/>
          <w:sz w:val="24"/>
          <w:szCs w:val="24"/>
        </w:rPr>
        <w:t xml:space="preserve"> </w:t>
      </w:r>
    </w:p>
    <w:p w14:paraId="50437427" w14:textId="42C4C693" w:rsidR="007804D1" w:rsidRDefault="007804D1" w:rsidP="007804D1">
      <w:pPr>
        <w:numPr>
          <w:ilvl w:val="0"/>
          <w:numId w:val="9"/>
        </w:numPr>
        <w:spacing w:before="90" w:after="90" w:line="240" w:lineRule="auto"/>
        <w:textAlignment w:val="baseline"/>
        <w:rPr>
          <w:rFonts w:cstheme="minorHAnsi"/>
          <w:color w:val="2D2D2D"/>
          <w:sz w:val="24"/>
          <w:szCs w:val="24"/>
        </w:rPr>
      </w:pPr>
      <w:r w:rsidRPr="00B66D49">
        <w:rPr>
          <w:rFonts w:cstheme="minorHAnsi"/>
          <w:b/>
          <w:color w:val="2D2D2D"/>
          <w:sz w:val="24"/>
          <w:szCs w:val="24"/>
        </w:rPr>
        <w:t>Reach out to your EHR vendors.</w:t>
      </w:r>
      <w:r w:rsidRPr="002A698E">
        <w:rPr>
          <w:rFonts w:cstheme="minorHAnsi"/>
          <w:color w:val="2D2D2D"/>
          <w:sz w:val="24"/>
          <w:szCs w:val="24"/>
        </w:rPr>
        <w:t xml:space="preserve"> </w:t>
      </w:r>
    </w:p>
    <w:p w14:paraId="7554AEC2" w14:textId="0DF5704E" w:rsidR="007804D1" w:rsidRPr="002A698E" w:rsidRDefault="0074110D" w:rsidP="00B66D49">
      <w:pPr>
        <w:numPr>
          <w:ilvl w:val="1"/>
          <w:numId w:val="9"/>
        </w:numPr>
        <w:spacing w:before="90" w:after="90" w:line="240" w:lineRule="auto"/>
        <w:textAlignment w:val="baseline"/>
        <w:rPr>
          <w:rFonts w:cstheme="minorHAnsi"/>
          <w:color w:val="2D2D2D"/>
          <w:sz w:val="24"/>
          <w:szCs w:val="24"/>
        </w:rPr>
      </w:pPr>
      <w:r>
        <w:rPr>
          <w:rFonts w:cstheme="minorHAnsi"/>
          <w:color w:val="2D2D2D"/>
          <w:sz w:val="24"/>
          <w:szCs w:val="24"/>
        </w:rPr>
        <w:t>Learn about their</w:t>
      </w:r>
      <w:r w:rsidR="007804D1">
        <w:rPr>
          <w:rFonts w:cstheme="minorHAnsi"/>
          <w:color w:val="2D2D2D"/>
          <w:sz w:val="24"/>
          <w:szCs w:val="24"/>
        </w:rPr>
        <w:t xml:space="preserve"> plans to meet the new requirements</w:t>
      </w:r>
    </w:p>
    <w:p w14:paraId="61C972F7" w14:textId="77777777" w:rsidR="00D30B95" w:rsidRDefault="00D30B95">
      <w:pPr>
        <w:rPr>
          <w:rFonts w:cstheme="minorHAnsi"/>
          <w:color w:val="2D2D2D"/>
          <w:sz w:val="24"/>
          <w:szCs w:val="24"/>
        </w:rPr>
      </w:pPr>
    </w:p>
    <w:p w14:paraId="084C495F" w14:textId="3318C685" w:rsidR="00D30B95" w:rsidRDefault="00D30B95" w:rsidP="00D30B95">
      <w:pPr>
        <w:rPr>
          <w:rFonts w:cstheme="minorHAnsi"/>
          <w:sz w:val="24"/>
          <w:szCs w:val="24"/>
        </w:rPr>
      </w:pPr>
      <w:r w:rsidRPr="002A698E">
        <w:rPr>
          <w:rFonts w:cstheme="minorHAnsi"/>
          <w:sz w:val="24"/>
          <w:szCs w:val="24"/>
        </w:rPr>
        <w:t>Resources:</w:t>
      </w:r>
    </w:p>
    <w:p w14:paraId="7605116F" w14:textId="77777777" w:rsidR="00430052" w:rsidRPr="00680690" w:rsidRDefault="00736057" w:rsidP="00430052">
      <w:pPr>
        <w:spacing w:before="90" w:after="90" w:line="240" w:lineRule="auto"/>
        <w:textAlignment w:val="baseline"/>
        <w:rPr>
          <w:rFonts w:cstheme="minorHAnsi"/>
          <w:b/>
          <w:color w:val="000000" w:themeColor="text1"/>
          <w:sz w:val="24"/>
          <w:szCs w:val="24"/>
        </w:rPr>
      </w:pPr>
      <w:hyperlink r:id="rId6" w:history="1">
        <w:r w:rsidR="00430052" w:rsidRPr="00680690">
          <w:rPr>
            <w:rStyle w:val="Hyperlink"/>
            <w:rFonts w:cstheme="minorHAnsi"/>
            <w:color w:val="000000" w:themeColor="text1"/>
            <w:sz w:val="24"/>
            <w:szCs w:val="24"/>
          </w:rPr>
          <w:t>https://www.opennotes.org/onc-federal-rule/</w:t>
        </w:r>
      </w:hyperlink>
    </w:p>
    <w:p w14:paraId="212F1AEB" w14:textId="77777777" w:rsidR="00430052" w:rsidRPr="00680690" w:rsidRDefault="00736057" w:rsidP="00430052">
      <w:pPr>
        <w:spacing w:before="90" w:after="90" w:line="240" w:lineRule="auto"/>
        <w:textAlignment w:val="baseline"/>
        <w:rPr>
          <w:rFonts w:cstheme="minorHAnsi"/>
          <w:b/>
          <w:color w:val="000000" w:themeColor="text1"/>
          <w:sz w:val="24"/>
          <w:szCs w:val="24"/>
        </w:rPr>
      </w:pPr>
      <w:hyperlink r:id="rId7" w:history="1">
        <w:r w:rsidR="00430052" w:rsidRPr="00680690">
          <w:rPr>
            <w:rStyle w:val="Hyperlink"/>
            <w:rFonts w:cstheme="minorHAnsi"/>
            <w:color w:val="000000" w:themeColor="text1"/>
            <w:sz w:val="24"/>
            <w:szCs w:val="24"/>
          </w:rPr>
          <w:t>https://www.opennotes.org/onc-federal-rule/</w:t>
        </w:r>
      </w:hyperlink>
    </w:p>
    <w:p w14:paraId="71A77A9B" w14:textId="77777777" w:rsidR="00D30B95" w:rsidRPr="00B66D49" w:rsidRDefault="00736057" w:rsidP="00D30B95">
      <w:pPr>
        <w:spacing w:before="90" w:after="90" w:line="240" w:lineRule="auto"/>
        <w:textAlignment w:val="baseline"/>
        <w:rPr>
          <w:rFonts w:cstheme="minorHAnsi"/>
          <w:sz w:val="24"/>
          <w:szCs w:val="24"/>
        </w:rPr>
      </w:pPr>
      <w:hyperlink r:id="rId8" w:history="1">
        <w:r w:rsidR="00D30B95" w:rsidRPr="00B66D49">
          <w:rPr>
            <w:rStyle w:val="Hyperlink"/>
            <w:rFonts w:cstheme="minorHAnsi"/>
            <w:color w:val="auto"/>
            <w:sz w:val="24"/>
            <w:szCs w:val="24"/>
          </w:rPr>
          <w:t>https://www.ama-assn.org/system/files/2020-02/patient-records-playbook.pdf</w:t>
        </w:r>
      </w:hyperlink>
    </w:p>
    <w:p w14:paraId="411775E2" w14:textId="77777777" w:rsidR="00D30B95" w:rsidRPr="00B66D49" w:rsidRDefault="00736057" w:rsidP="00D30B95">
      <w:pPr>
        <w:spacing w:before="90" w:after="90" w:line="240" w:lineRule="auto"/>
        <w:textAlignment w:val="baseline"/>
        <w:rPr>
          <w:rFonts w:cstheme="minorHAnsi"/>
          <w:sz w:val="24"/>
          <w:szCs w:val="24"/>
        </w:rPr>
      </w:pPr>
      <w:hyperlink r:id="rId9" w:history="1">
        <w:r w:rsidR="00D30B95" w:rsidRPr="00B66D49">
          <w:rPr>
            <w:rStyle w:val="Hyperlink"/>
            <w:rFonts w:cstheme="minorHAnsi"/>
            <w:color w:val="auto"/>
            <w:sz w:val="24"/>
            <w:szCs w:val="24"/>
          </w:rPr>
          <w:t>https://journal.ahima.org/the-compliance-clock-is-ticking-on-oncs-21st-century-cures-act-regulations/</w:t>
        </w:r>
      </w:hyperlink>
    </w:p>
    <w:p w14:paraId="3C123665" w14:textId="77777777" w:rsidR="00D30B95" w:rsidRPr="00395576" w:rsidRDefault="00D30B95" w:rsidP="00D30B95">
      <w:pPr>
        <w:rPr>
          <w:rFonts w:cstheme="minorHAnsi"/>
          <w:sz w:val="24"/>
          <w:szCs w:val="24"/>
        </w:rPr>
      </w:pPr>
      <w:r w:rsidRPr="00395576">
        <w:rPr>
          <w:rFonts w:cstheme="minorHAnsi"/>
          <w:sz w:val="24"/>
          <w:szCs w:val="24"/>
        </w:rPr>
        <w:t>https://www.ama-assn.org/system/files/2020-10/onc-final-rule-ama-summary.pdf</w:t>
      </w:r>
    </w:p>
    <w:p w14:paraId="21BD8B9F" w14:textId="77777777" w:rsidR="00D30B95" w:rsidRPr="00395576" w:rsidRDefault="00736057" w:rsidP="00D30B95">
      <w:pPr>
        <w:rPr>
          <w:rFonts w:cstheme="minorHAnsi"/>
          <w:sz w:val="24"/>
          <w:szCs w:val="24"/>
        </w:rPr>
      </w:pPr>
      <w:hyperlink r:id="rId10" w:history="1">
        <w:r w:rsidR="00D30B95" w:rsidRPr="00B66D49">
          <w:rPr>
            <w:rStyle w:val="Hyperlink"/>
            <w:rFonts w:cstheme="minorHAnsi"/>
            <w:color w:val="auto"/>
            <w:sz w:val="24"/>
            <w:szCs w:val="24"/>
          </w:rPr>
          <w:t>https://www.healthit.gov/curesrule/resources/information-blocking-faqs</w:t>
        </w:r>
      </w:hyperlink>
    </w:p>
    <w:p w14:paraId="7FA21ECF" w14:textId="77777777" w:rsidR="00D30B95" w:rsidRPr="00395576" w:rsidRDefault="00736057" w:rsidP="00D30B95">
      <w:pPr>
        <w:rPr>
          <w:rFonts w:cstheme="minorHAnsi"/>
          <w:sz w:val="24"/>
          <w:szCs w:val="24"/>
        </w:rPr>
      </w:pPr>
      <w:hyperlink r:id="rId11" w:history="1">
        <w:r w:rsidR="00D30B95" w:rsidRPr="00B66D49">
          <w:rPr>
            <w:rStyle w:val="Hyperlink"/>
            <w:rFonts w:cstheme="minorHAnsi"/>
            <w:color w:val="auto"/>
            <w:sz w:val="24"/>
            <w:szCs w:val="24"/>
          </w:rPr>
          <w:t>https://www.healthit.gov/curesrule/what-it-means-for-me/clinicians</w:t>
        </w:r>
      </w:hyperlink>
    </w:p>
    <w:p w14:paraId="072277C0" w14:textId="1EBFEBDB" w:rsidR="007804D1" w:rsidRPr="00736057" w:rsidRDefault="00736057" w:rsidP="00736057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hyperlink r:id="rId12" w:history="1">
        <w:r w:rsidR="00D30B95" w:rsidRPr="00B66D49">
          <w:rPr>
            <w:rStyle w:val="Hyperlink"/>
            <w:rFonts w:cstheme="minorHAnsi"/>
            <w:color w:val="auto"/>
            <w:sz w:val="24"/>
            <w:szCs w:val="24"/>
          </w:rPr>
          <w:t>https://sironastrategies.com/wp-content/uploads/2020/03/HIT-Leadership-Roundtable-WP-FINAL.pdf</w:t>
        </w:r>
      </w:hyperlink>
      <w:bookmarkStart w:id="0" w:name="_GoBack"/>
      <w:bookmarkEnd w:id="0"/>
    </w:p>
    <w:sectPr w:rsidR="007804D1" w:rsidRPr="00736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10ADC"/>
    <w:multiLevelType w:val="multilevel"/>
    <w:tmpl w:val="9076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64D72"/>
    <w:multiLevelType w:val="hybridMultilevel"/>
    <w:tmpl w:val="89CCF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4ABD"/>
    <w:multiLevelType w:val="hybridMultilevel"/>
    <w:tmpl w:val="E110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52BF"/>
    <w:multiLevelType w:val="multilevel"/>
    <w:tmpl w:val="6926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50B5F"/>
    <w:multiLevelType w:val="hybridMultilevel"/>
    <w:tmpl w:val="C2BC1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599B"/>
    <w:multiLevelType w:val="hybridMultilevel"/>
    <w:tmpl w:val="D116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A3875"/>
    <w:multiLevelType w:val="hybridMultilevel"/>
    <w:tmpl w:val="2CD40BA2"/>
    <w:lvl w:ilvl="0" w:tplc="4858B3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73B9"/>
    <w:multiLevelType w:val="multilevel"/>
    <w:tmpl w:val="8D3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23025"/>
    <w:multiLevelType w:val="hybridMultilevel"/>
    <w:tmpl w:val="4484F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EF5248"/>
    <w:multiLevelType w:val="multilevel"/>
    <w:tmpl w:val="A2D443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C2A81"/>
    <w:multiLevelType w:val="multilevel"/>
    <w:tmpl w:val="7D68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4908B1"/>
    <w:multiLevelType w:val="hybridMultilevel"/>
    <w:tmpl w:val="60809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A6C1F"/>
    <w:multiLevelType w:val="multilevel"/>
    <w:tmpl w:val="5F14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B03108"/>
    <w:multiLevelType w:val="multilevel"/>
    <w:tmpl w:val="885A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85528"/>
    <w:multiLevelType w:val="hybridMultilevel"/>
    <w:tmpl w:val="69185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91FF8"/>
    <w:multiLevelType w:val="multilevel"/>
    <w:tmpl w:val="490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936240"/>
    <w:multiLevelType w:val="hybridMultilevel"/>
    <w:tmpl w:val="1FF0AAF0"/>
    <w:lvl w:ilvl="0" w:tplc="4BF21BE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2C02AD6"/>
    <w:multiLevelType w:val="hybridMultilevel"/>
    <w:tmpl w:val="399E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B4242"/>
    <w:multiLevelType w:val="multilevel"/>
    <w:tmpl w:val="4A6A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586B3C"/>
    <w:multiLevelType w:val="hybridMultilevel"/>
    <w:tmpl w:val="D6BC6A02"/>
    <w:lvl w:ilvl="0" w:tplc="BD0C0902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33333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C180C"/>
    <w:multiLevelType w:val="multilevel"/>
    <w:tmpl w:val="88F8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60123C"/>
    <w:multiLevelType w:val="hybridMultilevel"/>
    <w:tmpl w:val="8E46A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B05148"/>
    <w:multiLevelType w:val="hybridMultilevel"/>
    <w:tmpl w:val="A638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32600"/>
    <w:multiLevelType w:val="hybridMultilevel"/>
    <w:tmpl w:val="184C8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0417E5"/>
    <w:multiLevelType w:val="hybridMultilevel"/>
    <w:tmpl w:val="B70A8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33543"/>
    <w:multiLevelType w:val="hybridMultilevel"/>
    <w:tmpl w:val="BC6AD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C20872"/>
    <w:multiLevelType w:val="hybridMultilevel"/>
    <w:tmpl w:val="3F868C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C1309AB"/>
    <w:multiLevelType w:val="multilevel"/>
    <w:tmpl w:val="0DA0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775587"/>
    <w:multiLevelType w:val="hybridMultilevel"/>
    <w:tmpl w:val="4936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0759D"/>
    <w:multiLevelType w:val="hybridMultilevel"/>
    <w:tmpl w:val="B7C0CB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DC2B4F"/>
    <w:multiLevelType w:val="multilevel"/>
    <w:tmpl w:val="6C4A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1D01C2"/>
    <w:multiLevelType w:val="multilevel"/>
    <w:tmpl w:val="488EEEBC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</w:lvl>
    <w:lvl w:ilvl="2" w:tentative="1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entative="1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entative="1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entative="1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32" w15:restartNumberingAfterBreak="0">
    <w:nsid w:val="6F1E2F06"/>
    <w:multiLevelType w:val="multilevel"/>
    <w:tmpl w:val="62E8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583DAC"/>
    <w:multiLevelType w:val="hybridMultilevel"/>
    <w:tmpl w:val="8CBA2D80"/>
    <w:lvl w:ilvl="0" w:tplc="013CB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5024D4"/>
    <w:multiLevelType w:val="hybridMultilevel"/>
    <w:tmpl w:val="02C49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11ED2"/>
    <w:multiLevelType w:val="multilevel"/>
    <w:tmpl w:val="CCB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DB274C"/>
    <w:multiLevelType w:val="hybridMultilevel"/>
    <w:tmpl w:val="AD44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F30DB"/>
    <w:multiLevelType w:val="hybridMultilevel"/>
    <w:tmpl w:val="ECA63C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2760A7"/>
    <w:multiLevelType w:val="hybridMultilevel"/>
    <w:tmpl w:val="778CA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F2D7E"/>
    <w:multiLevelType w:val="multilevel"/>
    <w:tmpl w:val="E19E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306957"/>
    <w:multiLevelType w:val="multilevel"/>
    <w:tmpl w:val="0068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2D4A14"/>
    <w:multiLevelType w:val="multilevel"/>
    <w:tmpl w:val="27CC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077AE7"/>
    <w:multiLevelType w:val="hybridMultilevel"/>
    <w:tmpl w:val="63DC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5"/>
  </w:num>
  <w:num w:numId="4">
    <w:abstractNumId w:val="11"/>
  </w:num>
  <w:num w:numId="5">
    <w:abstractNumId w:val="22"/>
  </w:num>
  <w:num w:numId="6">
    <w:abstractNumId w:val="33"/>
  </w:num>
  <w:num w:numId="7">
    <w:abstractNumId w:val="21"/>
  </w:num>
  <w:num w:numId="8">
    <w:abstractNumId w:val="28"/>
  </w:num>
  <w:num w:numId="9">
    <w:abstractNumId w:val="12"/>
  </w:num>
  <w:num w:numId="10">
    <w:abstractNumId w:val="3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7"/>
  </w:num>
  <w:num w:numId="16">
    <w:abstractNumId w:val="30"/>
  </w:num>
  <w:num w:numId="17">
    <w:abstractNumId w:val="0"/>
  </w:num>
  <w:num w:numId="18">
    <w:abstractNumId w:val="39"/>
  </w:num>
  <w:num w:numId="19">
    <w:abstractNumId w:val="40"/>
  </w:num>
  <w:num w:numId="20">
    <w:abstractNumId w:val="32"/>
  </w:num>
  <w:num w:numId="21">
    <w:abstractNumId w:val="31"/>
  </w:num>
  <w:num w:numId="22">
    <w:abstractNumId w:val="41"/>
  </w:num>
  <w:num w:numId="23">
    <w:abstractNumId w:val="35"/>
  </w:num>
  <w:num w:numId="24">
    <w:abstractNumId w:val="18"/>
  </w:num>
  <w:num w:numId="25">
    <w:abstractNumId w:val="14"/>
  </w:num>
  <w:num w:numId="26">
    <w:abstractNumId w:val="1"/>
  </w:num>
  <w:num w:numId="27">
    <w:abstractNumId w:val="34"/>
  </w:num>
  <w:num w:numId="28">
    <w:abstractNumId w:val="42"/>
  </w:num>
  <w:num w:numId="29">
    <w:abstractNumId w:val="8"/>
  </w:num>
  <w:num w:numId="30">
    <w:abstractNumId w:val="2"/>
  </w:num>
  <w:num w:numId="31">
    <w:abstractNumId w:val="26"/>
  </w:num>
  <w:num w:numId="32">
    <w:abstractNumId w:val="37"/>
  </w:num>
  <w:num w:numId="33">
    <w:abstractNumId w:val="29"/>
  </w:num>
  <w:num w:numId="34">
    <w:abstractNumId w:val="38"/>
  </w:num>
  <w:num w:numId="35">
    <w:abstractNumId w:val="19"/>
  </w:num>
  <w:num w:numId="36">
    <w:abstractNumId w:val="4"/>
  </w:num>
  <w:num w:numId="37">
    <w:abstractNumId w:val="36"/>
  </w:num>
  <w:num w:numId="38">
    <w:abstractNumId w:val="23"/>
  </w:num>
  <w:num w:numId="39">
    <w:abstractNumId w:val="17"/>
  </w:num>
  <w:num w:numId="40">
    <w:abstractNumId w:val="16"/>
  </w:num>
  <w:num w:numId="41">
    <w:abstractNumId w:val="24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7E"/>
    <w:rsid w:val="00001E76"/>
    <w:rsid w:val="000957A6"/>
    <w:rsid w:val="00101CE6"/>
    <w:rsid w:val="001B3B67"/>
    <w:rsid w:val="001C1FFE"/>
    <w:rsid w:val="00221B9E"/>
    <w:rsid w:val="00247E1E"/>
    <w:rsid w:val="00282B71"/>
    <w:rsid w:val="002A698E"/>
    <w:rsid w:val="002A7A5C"/>
    <w:rsid w:val="002B0D05"/>
    <w:rsid w:val="002F4119"/>
    <w:rsid w:val="003070A1"/>
    <w:rsid w:val="00392F09"/>
    <w:rsid w:val="00395576"/>
    <w:rsid w:val="003B358A"/>
    <w:rsid w:val="003C17A0"/>
    <w:rsid w:val="00421B22"/>
    <w:rsid w:val="00422C7B"/>
    <w:rsid w:val="00430052"/>
    <w:rsid w:val="004740ED"/>
    <w:rsid w:val="004D7B83"/>
    <w:rsid w:val="004E76BC"/>
    <w:rsid w:val="005045B8"/>
    <w:rsid w:val="00541687"/>
    <w:rsid w:val="00543296"/>
    <w:rsid w:val="00642092"/>
    <w:rsid w:val="00661B55"/>
    <w:rsid w:val="00680690"/>
    <w:rsid w:val="0069471D"/>
    <w:rsid w:val="00736057"/>
    <w:rsid w:val="0074110D"/>
    <w:rsid w:val="00744377"/>
    <w:rsid w:val="007804D1"/>
    <w:rsid w:val="00840D3A"/>
    <w:rsid w:val="008815DA"/>
    <w:rsid w:val="00902607"/>
    <w:rsid w:val="009178EE"/>
    <w:rsid w:val="0092339C"/>
    <w:rsid w:val="009376DF"/>
    <w:rsid w:val="009C32AF"/>
    <w:rsid w:val="00A661C0"/>
    <w:rsid w:val="00AA380B"/>
    <w:rsid w:val="00B14DCD"/>
    <w:rsid w:val="00B57942"/>
    <w:rsid w:val="00B62707"/>
    <w:rsid w:val="00B66D49"/>
    <w:rsid w:val="00C47CD4"/>
    <w:rsid w:val="00C9501F"/>
    <w:rsid w:val="00CC7112"/>
    <w:rsid w:val="00CE677F"/>
    <w:rsid w:val="00D30B95"/>
    <w:rsid w:val="00DA40C9"/>
    <w:rsid w:val="00E3351F"/>
    <w:rsid w:val="00E4557E"/>
    <w:rsid w:val="00EC6BB5"/>
    <w:rsid w:val="00EF163F"/>
    <w:rsid w:val="00F75CD5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92E2"/>
  <w15:chartTrackingRefBased/>
  <w15:docId w15:val="{62D98607-37F2-4DEF-ABFE-1848D818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52"/>
  </w:style>
  <w:style w:type="paragraph" w:styleId="Heading2">
    <w:name w:val="heading 2"/>
    <w:basedOn w:val="Normal"/>
    <w:link w:val="Heading2Char"/>
    <w:uiPriority w:val="9"/>
    <w:qFormat/>
    <w:rsid w:val="001B3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6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6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6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70A1"/>
    <w:rPr>
      <w:b/>
      <w:bCs/>
    </w:rPr>
  </w:style>
  <w:style w:type="character" w:styleId="Emphasis">
    <w:name w:val="Emphasis"/>
    <w:basedOn w:val="DefaultParagraphFont"/>
    <w:uiPriority w:val="20"/>
    <w:qFormat/>
    <w:rsid w:val="003070A1"/>
    <w:rPr>
      <w:i/>
      <w:iCs/>
    </w:rPr>
  </w:style>
  <w:style w:type="character" w:styleId="Hyperlink">
    <w:name w:val="Hyperlink"/>
    <w:basedOn w:val="DefaultParagraphFont"/>
    <w:uiPriority w:val="99"/>
    <w:unhideWhenUsed/>
    <w:rsid w:val="003070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B3B6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B3B6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376D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vctta-title-text">
    <w:name w:val="vc_tta-title-text"/>
    <w:basedOn w:val="DefaultParagraphFont"/>
    <w:rsid w:val="009376DF"/>
  </w:style>
  <w:style w:type="character" w:customStyle="1" w:styleId="Heading5Char">
    <w:name w:val="Heading 5 Char"/>
    <w:basedOn w:val="DefaultParagraphFont"/>
    <w:link w:val="Heading5"/>
    <w:uiPriority w:val="9"/>
    <w:semiHidden/>
    <w:rsid w:val="009376D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6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1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B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B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21B9E"/>
    <w:pPr>
      <w:spacing w:after="0" w:line="240" w:lineRule="auto"/>
    </w:pPr>
  </w:style>
  <w:style w:type="paragraph" w:styleId="NoSpacing">
    <w:name w:val="No Spacing"/>
    <w:uiPriority w:val="1"/>
    <w:qFormat/>
    <w:rsid w:val="004740E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21B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3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678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9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8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274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65737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0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16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  <w:div w:id="96720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F0F0F0"/>
                                                <w:left w:val="single" w:sz="6" w:space="15" w:color="F0F0F0"/>
                                                <w:bottom w:val="single" w:sz="6" w:space="11" w:color="F0F0F0"/>
                                                <w:right w:val="single" w:sz="6" w:space="15" w:color="F0F0F0"/>
                                              </w:divBdr>
                                              <w:divsChild>
                                                <w:div w:id="71226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4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single" w:sz="6" w:space="0" w:color="F0F0F0"/>
                            <w:bottom w:val="single" w:sz="6" w:space="0" w:color="F0F0F0"/>
                            <w:right w:val="single" w:sz="6" w:space="0" w:color="F0F0F0"/>
                          </w:divBdr>
                        </w:div>
                        <w:div w:id="16604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F0F0F0"/>
                            <w:left w:val="single" w:sz="6" w:space="15" w:color="F0F0F0"/>
                            <w:bottom w:val="single" w:sz="6" w:space="11" w:color="F0F0F0"/>
                            <w:right w:val="single" w:sz="6" w:space="15" w:color="F0F0F0"/>
                          </w:divBdr>
                          <w:divsChild>
                            <w:div w:id="10896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-assn.org/system/files/2020-02/patient-records-playbook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ennotes.org/onc-federal-rule/" TargetMode="External"/><Relationship Id="rId12" Type="http://schemas.openxmlformats.org/officeDocument/2006/relationships/hyperlink" Target="https://sironastrategies.com/wp-content/uploads/2020/03/HIT-Leadership-Roundtable-WP-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ennotes.org/onc-federal-rule/" TargetMode="External"/><Relationship Id="rId11" Type="http://schemas.openxmlformats.org/officeDocument/2006/relationships/hyperlink" Target="https://www.healthit.gov/curesrule/what-it-means-for-me/clinicians" TargetMode="External"/><Relationship Id="rId5" Type="http://schemas.openxmlformats.org/officeDocument/2006/relationships/hyperlink" Target="https://www.healthit.gov/buzz-blog/information-blocking/pssst-information-blocking-practices-your-days-are-numberedpass-it-on" TargetMode="External"/><Relationship Id="rId10" Type="http://schemas.openxmlformats.org/officeDocument/2006/relationships/hyperlink" Target="https://www.healthit.gov/curesrule/resources/information-blocking-faq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ahima.org/the-compliance-clock-is-ticking-on-oncs-21st-century-cures-act-regula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927</Words>
  <Characters>4747</Characters>
  <Application>Microsoft Office Word</Application>
  <DocSecurity>0</DocSecurity>
  <Lines>91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NCMIC Group, Inc.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Brattstrom</dc:creator>
  <cp:keywords/>
  <dc:description/>
  <cp:lastModifiedBy>Stacy Conradt</cp:lastModifiedBy>
  <cp:revision>3</cp:revision>
  <cp:lastPrinted>2021-02-15T19:16:00Z</cp:lastPrinted>
  <dcterms:created xsi:type="dcterms:W3CDTF">2021-03-16T18:21:00Z</dcterms:created>
  <dcterms:modified xsi:type="dcterms:W3CDTF">2021-03-16T18:24:00Z</dcterms:modified>
</cp:coreProperties>
</file>