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E3008" w14:textId="77777777" w:rsidR="00A55E2A" w:rsidRDefault="00A55E2A" w:rsidP="00A55E2A">
      <w:pPr>
        <w:shd w:val="clear" w:color="auto" w:fill="FFFFFF"/>
        <w:spacing w:before="100" w:beforeAutospacing="1" w:after="0" w:line="240" w:lineRule="auto"/>
        <w:rPr>
          <w:rFonts w:eastAsia="Times New Roman" w:cstheme="minorHAnsi"/>
          <w:b/>
          <w:color w:val="333333"/>
          <w:sz w:val="32"/>
          <w:szCs w:val="32"/>
        </w:rPr>
      </w:pPr>
      <w:r w:rsidRPr="00430052">
        <w:rPr>
          <w:rFonts w:eastAsia="Times New Roman" w:cstheme="minorHAnsi"/>
          <w:b/>
          <w:color w:val="333333"/>
          <w:sz w:val="32"/>
          <w:szCs w:val="32"/>
        </w:rPr>
        <w:t>The Cures Act Final Rule and FAQs</w:t>
      </w:r>
    </w:p>
    <w:p w14:paraId="20656A64" w14:textId="77777777" w:rsidR="00A55E2A" w:rsidRPr="00430052" w:rsidRDefault="00A55E2A" w:rsidP="00A55E2A">
      <w:pPr>
        <w:shd w:val="clear" w:color="auto" w:fill="FFFFFF"/>
        <w:spacing w:before="100" w:beforeAutospacing="1" w:after="0" w:line="240" w:lineRule="auto"/>
        <w:rPr>
          <w:rFonts w:eastAsia="Times New Roman" w:cstheme="minorHAnsi"/>
          <w:b/>
          <w:color w:val="333333"/>
          <w:sz w:val="32"/>
          <w:szCs w:val="32"/>
        </w:rPr>
      </w:pPr>
      <w:r>
        <w:rPr>
          <w:rFonts w:eastAsia="Times New Roman" w:cstheme="minorHAnsi"/>
          <w:b/>
          <w:color w:val="333333"/>
          <w:sz w:val="32"/>
          <w:szCs w:val="32"/>
        </w:rPr>
        <w:t>Risk Tip Sheet 2</w:t>
      </w:r>
    </w:p>
    <w:p w14:paraId="6DAF3CBE" w14:textId="77777777" w:rsidR="00A55E2A" w:rsidRDefault="00A55E2A" w:rsidP="00A55E2A">
      <w:pPr>
        <w:shd w:val="clear" w:color="auto" w:fill="FFFFFF"/>
        <w:spacing w:before="100" w:beforeAutospacing="1" w:after="0" w:line="240" w:lineRule="auto"/>
        <w:rPr>
          <w:rFonts w:eastAsia="Times New Roman" w:cstheme="minorHAnsi"/>
          <w:b/>
          <w:color w:val="333333"/>
          <w:sz w:val="24"/>
          <w:szCs w:val="24"/>
        </w:rPr>
      </w:pPr>
    </w:p>
    <w:p w14:paraId="76BA2AA0" w14:textId="77777777" w:rsidR="00A55E2A" w:rsidRDefault="00A55E2A" w:rsidP="00A55E2A">
      <w:pPr>
        <w:shd w:val="clear" w:color="auto" w:fill="FFFFFF"/>
        <w:spacing w:before="100" w:beforeAutospacing="1" w:after="0" w:line="240" w:lineRule="auto"/>
        <w:rPr>
          <w:rFonts w:eastAsia="Times New Roman" w:cstheme="minorHAnsi"/>
          <w:b/>
          <w:color w:val="333333"/>
          <w:sz w:val="24"/>
          <w:szCs w:val="24"/>
        </w:rPr>
      </w:pPr>
      <w:r>
        <w:rPr>
          <w:rFonts w:eastAsia="Times New Roman" w:cstheme="minorHAnsi"/>
          <w:b/>
          <w:color w:val="333333"/>
          <w:sz w:val="24"/>
          <w:szCs w:val="24"/>
        </w:rPr>
        <w:t>Who can submit a request?</w:t>
      </w:r>
    </w:p>
    <w:p w14:paraId="5F0221A7" w14:textId="77777777" w:rsidR="00A55E2A" w:rsidRPr="002A7A5C" w:rsidRDefault="00A55E2A" w:rsidP="00A55E2A">
      <w:pPr>
        <w:shd w:val="clear" w:color="auto" w:fill="FFFFFF"/>
        <w:spacing w:before="100" w:beforeAutospacing="1" w:after="0" w:line="240" w:lineRule="auto"/>
        <w:rPr>
          <w:rFonts w:eastAsia="Times New Roman" w:cstheme="minorHAnsi"/>
          <w:color w:val="333333"/>
          <w:sz w:val="24"/>
          <w:szCs w:val="24"/>
        </w:rPr>
      </w:pPr>
      <w:r>
        <w:rPr>
          <w:rFonts w:eastAsia="Times New Roman" w:cstheme="minorHAnsi"/>
          <w:color w:val="333333"/>
          <w:sz w:val="24"/>
          <w:szCs w:val="24"/>
        </w:rPr>
        <w:t>A</w:t>
      </w:r>
      <w:r w:rsidRPr="00B66D49">
        <w:rPr>
          <w:rFonts w:eastAsia="Times New Roman" w:cstheme="minorHAnsi"/>
          <w:color w:val="333333"/>
          <w:sz w:val="24"/>
          <w:szCs w:val="24"/>
        </w:rPr>
        <w:t xml:space="preserve"> request </w:t>
      </w:r>
      <w:r w:rsidRPr="008815DA">
        <w:rPr>
          <w:rFonts w:eastAsia="Times New Roman" w:cstheme="minorHAnsi"/>
          <w:color w:val="333333"/>
          <w:sz w:val="24"/>
          <w:szCs w:val="24"/>
        </w:rPr>
        <w:t>can be</w:t>
      </w:r>
      <w:r>
        <w:rPr>
          <w:rFonts w:eastAsia="Times New Roman" w:cstheme="minorHAnsi"/>
          <w:color w:val="333333"/>
          <w:sz w:val="24"/>
          <w:szCs w:val="24"/>
        </w:rPr>
        <w:t xml:space="preserve"> received from a patient for their electronic heath information (EHI)</w:t>
      </w:r>
      <w:r w:rsidRPr="00B66D49">
        <w:rPr>
          <w:rFonts w:eastAsia="Times New Roman" w:cstheme="minorHAnsi"/>
          <w:color w:val="333333"/>
          <w:sz w:val="24"/>
          <w:szCs w:val="24"/>
        </w:rPr>
        <w:t xml:space="preserve">, </w:t>
      </w:r>
      <w:r>
        <w:rPr>
          <w:rFonts w:eastAsia="Times New Roman" w:cstheme="minorHAnsi"/>
          <w:color w:val="333333"/>
          <w:sz w:val="24"/>
          <w:szCs w:val="24"/>
        </w:rPr>
        <w:t>a</w:t>
      </w:r>
      <w:r w:rsidRPr="00B66D49">
        <w:rPr>
          <w:rFonts w:eastAsia="Times New Roman" w:cstheme="minorHAnsi"/>
          <w:color w:val="333333"/>
          <w:sz w:val="24"/>
          <w:szCs w:val="24"/>
        </w:rPr>
        <w:t xml:space="preserve"> 3</w:t>
      </w:r>
      <w:r w:rsidRPr="00B66D49">
        <w:rPr>
          <w:rFonts w:eastAsia="Times New Roman" w:cstheme="minorHAnsi"/>
          <w:color w:val="333333"/>
          <w:sz w:val="24"/>
          <w:szCs w:val="24"/>
          <w:vertAlign w:val="superscript"/>
        </w:rPr>
        <w:t>rd</w:t>
      </w:r>
      <w:r w:rsidRPr="00B66D49">
        <w:rPr>
          <w:rFonts w:eastAsia="Times New Roman" w:cstheme="minorHAnsi"/>
          <w:color w:val="333333"/>
          <w:sz w:val="24"/>
          <w:szCs w:val="24"/>
        </w:rPr>
        <w:t xml:space="preserve"> party for acce</w:t>
      </w:r>
      <w:r>
        <w:rPr>
          <w:rFonts w:eastAsia="Times New Roman" w:cstheme="minorHAnsi"/>
          <w:color w:val="333333"/>
          <w:sz w:val="24"/>
          <w:szCs w:val="24"/>
        </w:rPr>
        <w:t>ss to an individual’s EHI or</w:t>
      </w:r>
      <w:r w:rsidRPr="00B66D49">
        <w:rPr>
          <w:rFonts w:eastAsia="Times New Roman" w:cstheme="minorHAnsi"/>
          <w:color w:val="333333"/>
          <w:sz w:val="24"/>
          <w:szCs w:val="24"/>
        </w:rPr>
        <w:t xml:space="preserve"> from a 3</w:t>
      </w:r>
      <w:r w:rsidRPr="00B66D49">
        <w:rPr>
          <w:rFonts w:eastAsia="Times New Roman" w:cstheme="minorHAnsi"/>
          <w:color w:val="333333"/>
          <w:sz w:val="24"/>
          <w:szCs w:val="24"/>
          <w:vertAlign w:val="superscript"/>
        </w:rPr>
        <w:t>rd</w:t>
      </w:r>
      <w:r w:rsidRPr="00B66D49">
        <w:rPr>
          <w:rFonts w:eastAsia="Times New Roman" w:cstheme="minorHAnsi"/>
          <w:color w:val="333333"/>
          <w:sz w:val="24"/>
          <w:szCs w:val="24"/>
        </w:rPr>
        <w:t xml:space="preserve"> party to establish a connection</w:t>
      </w:r>
      <w:r>
        <w:rPr>
          <w:rFonts w:eastAsia="Times New Roman" w:cstheme="minorHAnsi"/>
          <w:color w:val="333333"/>
          <w:sz w:val="24"/>
          <w:szCs w:val="24"/>
        </w:rPr>
        <w:t>, known as an Application Programming Interface (API</w:t>
      </w:r>
      <w:proofErr w:type="gramStart"/>
      <w:r>
        <w:rPr>
          <w:rFonts w:eastAsia="Times New Roman" w:cstheme="minorHAnsi"/>
          <w:color w:val="333333"/>
          <w:sz w:val="24"/>
          <w:szCs w:val="24"/>
        </w:rPr>
        <w:t xml:space="preserve">), </w:t>
      </w:r>
      <w:r w:rsidRPr="00B66D49">
        <w:rPr>
          <w:rFonts w:eastAsia="Times New Roman" w:cstheme="minorHAnsi"/>
          <w:color w:val="333333"/>
          <w:sz w:val="24"/>
          <w:szCs w:val="24"/>
        </w:rPr>
        <w:t xml:space="preserve"> through</w:t>
      </w:r>
      <w:proofErr w:type="gramEnd"/>
      <w:r w:rsidRPr="00B66D49">
        <w:rPr>
          <w:rFonts w:eastAsia="Times New Roman" w:cstheme="minorHAnsi"/>
          <w:color w:val="333333"/>
          <w:sz w:val="24"/>
          <w:szCs w:val="24"/>
        </w:rPr>
        <w:t xml:space="preserve"> which EHI can later be received</w:t>
      </w:r>
      <w:r>
        <w:rPr>
          <w:rFonts w:eastAsia="Times New Roman" w:cstheme="minorHAnsi"/>
          <w:color w:val="333333"/>
          <w:sz w:val="24"/>
          <w:szCs w:val="24"/>
        </w:rPr>
        <w:t>.</w:t>
      </w:r>
    </w:p>
    <w:p w14:paraId="6FD1E24D" w14:textId="77777777" w:rsidR="00A55E2A" w:rsidRPr="002A698E" w:rsidRDefault="00A55E2A" w:rsidP="00A55E2A">
      <w:pPr>
        <w:shd w:val="clear" w:color="auto" w:fill="FFFFFF"/>
        <w:spacing w:before="100" w:beforeAutospacing="1" w:after="0" w:line="240" w:lineRule="auto"/>
        <w:ind w:left="360"/>
        <w:rPr>
          <w:rFonts w:eastAsia="Times New Roman" w:cstheme="minorHAnsi"/>
          <w:color w:val="333333"/>
          <w:sz w:val="24"/>
          <w:szCs w:val="24"/>
        </w:rPr>
      </w:pPr>
    </w:p>
    <w:p w14:paraId="61E38D9F" w14:textId="77777777" w:rsidR="00A55E2A" w:rsidRPr="002A698E" w:rsidRDefault="00A55E2A" w:rsidP="00A55E2A">
      <w:pPr>
        <w:rPr>
          <w:rFonts w:cstheme="minorHAnsi"/>
          <w:b/>
          <w:sz w:val="24"/>
          <w:szCs w:val="24"/>
        </w:rPr>
      </w:pPr>
      <w:r w:rsidRPr="002A698E">
        <w:rPr>
          <w:rFonts w:cstheme="minorHAnsi"/>
          <w:b/>
          <w:sz w:val="24"/>
          <w:szCs w:val="24"/>
        </w:rPr>
        <w:t xml:space="preserve">What do I need to include in a request for records? </w:t>
      </w:r>
    </w:p>
    <w:p w14:paraId="71BCEB18" w14:textId="77777777" w:rsidR="00A55E2A" w:rsidRPr="002A698E" w:rsidRDefault="00A55E2A" w:rsidP="00A55E2A">
      <w:pPr>
        <w:rPr>
          <w:rFonts w:cstheme="minorHAnsi"/>
          <w:sz w:val="24"/>
          <w:szCs w:val="24"/>
        </w:rPr>
      </w:pPr>
      <w:r w:rsidRPr="002A698E">
        <w:rPr>
          <w:rFonts w:cstheme="minorHAnsi"/>
          <w:sz w:val="24"/>
          <w:szCs w:val="24"/>
        </w:rPr>
        <w:t xml:space="preserve">Include what they asked for, to the extent the information is contained within the “designated record set.” This includes medical and billing records and any other record that is used to make decisions about the patient. </w:t>
      </w:r>
    </w:p>
    <w:p w14:paraId="7793EBDB" w14:textId="77777777" w:rsidR="00A55E2A" w:rsidRPr="002A698E" w:rsidRDefault="00A55E2A" w:rsidP="00A55E2A">
      <w:pPr>
        <w:rPr>
          <w:rFonts w:cstheme="minorHAnsi"/>
          <w:b/>
          <w:sz w:val="24"/>
          <w:szCs w:val="24"/>
        </w:rPr>
      </w:pPr>
      <w:r w:rsidRPr="002A698E">
        <w:rPr>
          <w:rFonts w:cstheme="minorHAnsi"/>
          <w:b/>
          <w:sz w:val="24"/>
          <w:szCs w:val="24"/>
        </w:rPr>
        <w:t>How do I handle a records request if images are involved?</w:t>
      </w:r>
    </w:p>
    <w:p w14:paraId="00CC1F62" w14:textId="77777777" w:rsidR="00A55E2A" w:rsidRPr="002A698E" w:rsidRDefault="00A55E2A" w:rsidP="00A55E2A">
      <w:pPr>
        <w:rPr>
          <w:rFonts w:cstheme="minorHAnsi"/>
          <w:sz w:val="24"/>
          <w:szCs w:val="24"/>
        </w:rPr>
      </w:pPr>
      <w:r w:rsidRPr="002A698E">
        <w:rPr>
          <w:rFonts w:cstheme="minorHAnsi"/>
          <w:sz w:val="24"/>
          <w:szCs w:val="24"/>
        </w:rPr>
        <w:t>If the images are in your system, and you are relying on them for diagnosis and treatment decisions, you must produce them to the patient if requested to do so. If you are relying on a link to another health care provider’s systems, then you can direct the patient to the ot</w:t>
      </w:r>
      <w:r>
        <w:rPr>
          <w:rFonts w:cstheme="minorHAnsi"/>
          <w:sz w:val="24"/>
          <w:szCs w:val="24"/>
        </w:rPr>
        <w:t>her health care provider for that</w:t>
      </w:r>
      <w:r w:rsidRPr="002A698E">
        <w:rPr>
          <w:rFonts w:cstheme="minorHAnsi"/>
          <w:sz w:val="24"/>
          <w:szCs w:val="24"/>
        </w:rPr>
        <w:t xml:space="preserve"> information. </w:t>
      </w:r>
    </w:p>
    <w:p w14:paraId="31DC9897" w14:textId="77777777" w:rsidR="00A55E2A" w:rsidRPr="002A698E" w:rsidRDefault="00A55E2A" w:rsidP="00A55E2A">
      <w:pPr>
        <w:rPr>
          <w:rFonts w:cstheme="minorHAnsi"/>
          <w:b/>
          <w:sz w:val="24"/>
          <w:szCs w:val="24"/>
        </w:rPr>
      </w:pPr>
      <w:r w:rsidRPr="002A698E">
        <w:rPr>
          <w:rFonts w:cstheme="minorHAnsi"/>
          <w:b/>
          <w:sz w:val="24"/>
          <w:szCs w:val="24"/>
        </w:rPr>
        <w:t xml:space="preserve">Do I have to comply with a patient’s request that I email records? </w:t>
      </w:r>
    </w:p>
    <w:p w14:paraId="76D6B637" w14:textId="77777777" w:rsidR="00A55E2A" w:rsidRPr="002A698E" w:rsidRDefault="00A55E2A" w:rsidP="00A55E2A">
      <w:pPr>
        <w:rPr>
          <w:rFonts w:cstheme="minorHAnsi"/>
          <w:sz w:val="24"/>
          <w:szCs w:val="24"/>
        </w:rPr>
      </w:pPr>
      <w:r w:rsidRPr="002A698E">
        <w:rPr>
          <w:rFonts w:cstheme="minorHAnsi"/>
          <w:sz w:val="24"/>
          <w:szCs w:val="24"/>
        </w:rPr>
        <w:t xml:space="preserve">Yes.  Give the patient a basic warning related to email </w:t>
      </w:r>
      <w:proofErr w:type="gramStart"/>
      <w:r w:rsidRPr="002A698E">
        <w:rPr>
          <w:rFonts w:cstheme="minorHAnsi"/>
          <w:sz w:val="24"/>
          <w:szCs w:val="24"/>
        </w:rPr>
        <w:t>risks, and</w:t>
      </w:r>
      <w:proofErr w:type="gramEnd"/>
      <w:r w:rsidRPr="002A698E">
        <w:rPr>
          <w:rFonts w:cstheme="minorHAnsi"/>
          <w:sz w:val="24"/>
          <w:szCs w:val="24"/>
        </w:rPr>
        <w:t xml:space="preserve"> obtain a verbal or written confirmation from the patient that the patient is aware of the risk and still wants to receive the records via email.</w:t>
      </w:r>
      <w:r>
        <w:rPr>
          <w:rFonts w:cstheme="minorHAnsi"/>
          <w:sz w:val="24"/>
          <w:szCs w:val="24"/>
        </w:rPr>
        <w:t xml:space="preserve">  </w:t>
      </w:r>
      <w:r w:rsidRPr="008815DA">
        <w:rPr>
          <w:rFonts w:cstheme="minorHAnsi"/>
          <w:sz w:val="24"/>
          <w:szCs w:val="24"/>
        </w:rPr>
        <w:t>Document the patient acknowledges and understands these risks.</w:t>
      </w:r>
    </w:p>
    <w:p w14:paraId="26194DC3" w14:textId="77777777" w:rsidR="00A55E2A" w:rsidRPr="002A698E" w:rsidRDefault="00A55E2A" w:rsidP="00A55E2A">
      <w:pPr>
        <w:rPr>
          <w:rFonts w:cstheme="minorHAnsi"/>
          <w:b/>
          <w:sz w:val="24"/>
          <w:szCs w:val="24"/>
        </w:rPr>
      </w:pPr>
      <w:r w:rsidRPr="002A698E">
        <w:rPr>
          <w:rFonts w:cstheme="minorHAnsi"/>
          <w:b/>
          <w:sz w:val="24"/>
          <w:szCs w:val="24"/>
        </w:rPr>
        <w:t>Do I have to comply with a patient’s request that I share records through an app?</w:t>
      </w:r>
    </w:p>
    <w:p w14:paraId="33C8F1C1" w14:textId="77777777" w:rsidR="00A55E2A" w:rsidRDefault="00A55E2A" w:rsidP="00A55E2A">
      <w:pPr>
        <w:rPr>
          <w:rFonts w:cstheme="minorHAnsi"/>
          <w:color w:val="333333"/>
          <w:sz w:val="24"/>
          <w:szCs w:val="24"/>
        </w:rPr>
      </w:pPr>
      <w:r w:rsidRPr="002A698E">
        <w:rPr>
          <w:rFonts w:cstheme="minorHAnsi"/>
          <w:sz w:val="24"/>
          <w:szCs w:val="24"/>
        </w:rPr>
        <w:t xml:space="preserve">If a </w:t>
      </w:r>
      <w:proofErr w:type="gramStart"/>
      <w:r w:rsidRPr="002A698E">
        <w:rPr>
          <w:rFonts w:cstheme="minorHAnsi"/>
          <w:sz w:val="24"/>
          <w:szCs w:val="24"/>
        </w:rPr>
        <w:t>patient requests</w:t>
      </w:r>
      <w:proofErr w:type="gramEnd"/>
      <w:r w:rsidRPr="002A698E">
        <w:rPr>
          <w:rFonts w:cstheme="minorHAnsi"/>
          <w:sz w:val="24"/>
          <w:szCs w:val="24"/>
        </w:rPr>
        <w:t xml:space="preserve"> that you share information through an app, you are required to do so under HIPAA if you have the technology to do so. Encourage them to check the privacy policy before downloading a health app to make sure </w:t>
      </w:r>
      <w:r>
        <w:rPr>
          <w:rFonts w:cstheme="minorHAnsi"/>
          <w:sz w:val="24"/>
          <w:szCs w:val="24"/>
        </w:rPr>
        <w:t>t</w:t>
      </w:r>
      <w:r w:rsidRPr="002A698E">
        <w:rPr>
          <w:rFonts w:cstheme="minorHAnsi"/>
          <w:sz w:val="24"/>
          <w:szCs w:val="24"/>
        </w:rPr>
        <w:t xml:space="preserve">heir information will not be misused. </w:t>
      </w:r>
    </w:p>
    <w:p w14:paraId="3EEF50A1" w14:textId="77777777" w:rsidR="00A55E2A" w:rsidRPr="00C47CD4" w:rsidRDefault="00A55E2A" w:rsidP="00A55E2A">
      <w:pPr>
        <w:shd w:val="clear" w:color="auto" w:fill="FFFFFF"/>
        <w:spacing w:after="300" w:line="398" w:lineRule="atLeast"/>
        <w:textAlignment w:val="baseline"/>
        <w:rPr>
          <w:rFonts w:eastAsia="Times New Roman" w:cstheme="minorHAnsi"/>
          <w:b/>
          <w:sz w:val="24"/>
          <w:szCs w:val="24"/>
        </w:rPr>
      </w:pPr>
      <w:r w:rsidRPr="00C47CD4">
        <w:rPr>
          <w:rFonts w:eastAsia="Times New Roman" w:cstheme="minorHAnsi"/>
          <w:b/>
          <w:sz w:val="24"/>
          <w:szCs w:val="24"/>
        </w:rPr>
        <w:t xml:space="preserve">What are considered </w:t>
      </w:r>
      <w:r>
        <w:rPr>
          <w:rFonts w:eastAsia="Times New Roman" w:cstheme="minorHAnsi"/>
          <w:b/>
          <w:sz w:val="24"/>
          <w:szCs w:val="24"/>
        </w:rPr>
        <w:t>“</w:t>
      </w:r>
      <w:r w:rsidRPr="00C47CD4">
        <w:rPr>
          <w:rFonts w:eastAsia="Times New Roman" w:cstheme="minorHAnsi"/>
          <w:b/>
          <w:sz w:val="24"/>
          <w:szCs w:val="24"/>
        </w:rPr>
        <w:t>clinical notes</w:t>
      </w:r>
      <w:r>
        <w:rPr>
          <w:rFonts w:eastAsia="Times New Roman" w:cstheme="minorHAnsi"/>
          <w:b/>
          <w:sz w:val="24"/>
          <w:szCs w:val="24"/>
        </w:rPr>
        <w:t>”</w:t>
      </w:r>
      <w:r w:rsidRPr="00C47CD4">
        <w:rPr>
          <w:rFonts w:eastAsia="Times New Roman" w:cstheme="minorHAnsi"/>
          <w:b/>
          <w:sz w:val="24"/>
          <w:szCs w:val="24"/>
        </w:rPr>
        <w:t>?</w:t>
      </w:r>
    </w:p>
    <w:p w14:paraId="7DF51051" w14:textId="77777777" w:rsidR="00A55E2A" w:rsidRPr="002A698E" w:rsidRDefault="00A55E2A" w:rsidP="00A55E2A">
      <w:pPr>
        <w:shd w:val="clear" w:color="auto" w:fill="FFFFFF"/>
        <w:spacing w:after="0" w:line="398" w:lineRule="atLeast"/>
        <w:textAlignment w:val="baseline"/>
        <w:rPr>
          <w:rFonts w:eastAsia="Times New Roman" w:cstheme="minorHAnsi"/>
          <w:color w:val="0A0A0A"/>
          <w:sz w:val="24"/>
          <w:szCs w:val="24"/>
        </w:rPr>
      </w:pPr>
      <w:hyperlink r:id="rId5" w:anchor=":~:text=The%20program%20rule%20on%20Interoperability,healthcare%20provider%20beginning%20November%202" w:tgtFrame="_blank" w:history="1">
        <w:r w:rsidRPr="002A698E">
          <w:rPr>
            <w:rFonts w:eastAsia="Times New Roman" w:cstheme="minorHAnsi"/>
            <w:color w:val="003084"/>
            <w:sz w:val="24"/>
            <w:szCs w:val="24"/>
            <w:u w:val="single"/>
            <w:bdr w:val="none" w:sz="0" w:space="0" w:color="auto" w:frame="1"/>
          </w:rPr>
          <w:t>According to OpenNotes.org</w:t>
        </w:r>
      </w:hyperlink>
      <w:r w:rsidRPr="002A698E">
        <w:rPr>
          <w:rFonts w:eastAsia="Times New Roman" w:cstheme="minorHAnsi"/>
          <w:color w:val="0A0A0A"/>
          <w:sz w:val="24"/>
          <w:szCs w:val="24"/>
        </w:rPr>
        <w:t>, “the eight (8) types of clinical notes that must be shared are outlined in the United States Core Data for Interoperability (USCD). The 8 types include:</w:t>
      </w:r>
    </w:p>
    <w:p w14:paraId="3D7FFFD8" w14:textId="77777777" w:rsidR="00A55E2A" w:rsidRPr="002A698E" w:rsidRDefault="00A55E2A" w:rsidP="00A55E2A">
      <w:pPr>
        <w:numPr>
          <w:ilvl w:val="0"/>
          <w:numId w:val="1"/>
        </w:numPr>
        <w:shd w:val="clear" w:color="auto" w:fill="FFFFFF"/>
        <w:spacing w:after="0" w:line="240" w:lineRule="auto"/>
        <w:ind w:left="564"/>
        <w:textAlignment w:val="baseline"/>
        <w:rPr>
          <w:rFonts w:eastAsia="Times New Roman" w:cstheme="minorHAnsi"/>
          <w:color w:val="0A0A0A"/>
          <w:sz w:val="24"/>
          <w:szCs w:val="24"/>
        </w:rPr>
      </w:pPr>
      <w:r w:rsidRPr="002A698E">
        <w:rPr>
          <w:rFonts w:eastAsia="Times New Roman" w:cstheme="minorHAnsi"/>
          <w:color w:val="0A0A0A"/>
          <w:sz w:val="24"/>
          <w:szCs w:val="24"/>
        </w:rPr>
        <w:lastRenderedPageBreak/>
        <w:t>Consultation notes</w:t>
      </w:r>
    </w:p>
    <w:p w14:paraId="7286C43A" w14:textId="77777777" w:rsidR="00A55E2A" w:rsidRPr="002A698E" w:rsidRDefault="00A55E2A" w:rsidP="00A55E2A">
      <w:pPr>
        <w:numPr>
          <w:ilvl w:val="0"/>
          <w:numId w:val="1"/>
        </w:numPr>
        <w:shd w:val="clear" w:color="auto" w:fill="FFFFFF"/>
        <w:spacing w:after="0" w:line="240" w:lineRule="auto"/>
        <w:ind w:left="564"/>
        <w:textAlignment w:val="baseline"/>
        <w:rPr>
          <w:rFonts w:eastAsia="Times New Roman" w:cstheme="minorHAnsi"/>
          <w:color w:val="0A0A0A"/>
          <w:sz w:val="24"/>
          <w:szCs w:val="24"/>
        </w:rPr>
      </w:pPr>
      <w:r w:rsidRPr="002A698E">
        <w:rPr>
          <w:rFonts w:eastAsia="Times New Roman" w:cstheme="minorHAnsi"/>
          <w:color w:val="0A0A0A"/>
          <w:sz w:val="24"/>
          <w:szCs w:val="24"/>
        </w:rPr>
        <w:t>Discharge summary notes</w:t>
      </w:r>
    </w:p>
    <w:p w14:paraId="3722DF34" w14:textId="77777777" w:rsidR="00A55E2A" w:rsidRPr="002A698E" w:rsidRDefault="00A55E2A" w:rsidP="00A55E2A">
      <w:pPr>
        <w:numPr>
          <w:ilvl w:val="0"/>
          <w:numId w:val="1"/>
        </w:numPr>
        <w:shd w:val="clear" w:color="auto" w:fill="FFFFFF"/>
        <w:spacing w:after="0" w:line="240" w:lineRule="auto"/>
        <w:ind w:left="564"/>
        <w:textAlignment w:val="baseline"/>
        <w:rPr>
          <w:rFonts w:eastAsia="Times New Roman" w:cstheme="minorHAnsi"/>
          <w:color w:val="0A0A0A"/>
          <w:sz w:val="24"/>
          <w:szCs w:val="24"/>
        </w:rPr>
      </w:pPr>
      <w:r w:rsidRPr="002A698E">
        <w:rPr>
          <w:rFonts w:eastAsia="Times New Roman" w:cstheme="minorHAnsi"/>
          <w:color w:val="0A0A0A"/>
          <w:sz w:val="24"/>
          <w:szCs w:val="24"/>
        </w:rPr>
        <w:t>History &amp; physical</w:t>
      </w:r>
    </w:p>
    <w:p w14:paraId="4FD9AABA" w14:textId="77777777" w:rsidR="00A55E2A" w:rsidRPr="002A698E" w:rsidRDefault="00A55E2A" w:rsidP="00A55E2A">
      <w:pPr>
        <w:numPr>
          <w:ilvl w:val="0"/>
          <w:numId w:val="1"/>
        </w:numPr>
        <w:shd w:val="clear" w:color="auto" w:fill="FFFFFF"/>
        <w:spacing w:after="0" w:line="240" w:lineRule="auto"/>
        <w:ind w:left="564"/>
        <w:textAlignment w:val="baseline"/>
        <w:rPr>
          <w:rFonts w:eastAsia="Times New Roman" w:cstheme="minorHAnsi"/>
          <w:color w:val="0A0A0A"/>
          <w:sz w:val="24"/>
          <w:szCs w:val="24"/>
        </w:rPr>
      </w:pPr>
      <w:r w:rsidRPr="002A698E">
        <w:rPr>
          <w:rFonts w:eastAsia="Times New Roman" w:cstheme="minorHAnsi"/>
          <w:color w:val="0A0A0A"/>
          <w:sz w:val="24"/>
          <w:szCs w:val="24"/>
        </w:rPr>
        <w:t>Imaging narratives</w:t>
      </w:r>
    </w:p>
    <w:p w14:paraId="6C777D6E" w14:textId="77777777" w:rsidR="00A55E2A" w:rsidRPr="002A698E" w:rsidRDefault="00A55E2A" w:rsidP="00A55E2A">
      <w:pPr>
        <w:numPr>
          <w:ilvl w:val="0"/>
          <w:numId w:val="1"/>
        </w:numPr>
        <w:shd w:val="clear" w:color="auto" w:fill="FFFFFF"/>
        <w:spacing w:after="0" w:line="240" w:lineRule="auto"/>
        <w:ind w:left="564"/>
        <w:textAlignment w:val="baseline"/>
        <w:rPr>
          <w:rFonts w:eastAsia="Times New Roman" w:cstheme="minorHAnsi"/>
          <w:color w:val="0A0A0A"/>
          <w:sz w:val="24"/>
          <w:szCs w:val="24"/>
        </w:rPr>
      </w:pPr>
      <w:r w:rsidRPr="002A698E">
        <w:rPr>
          <w:rFonts w:eastAsia="Times New Roman" w:cstheme="minorHAnsi"/>
          <w:color w:val="0A0A0A"/>
          <w:sz w:val="24"/>
          <w:szCs w:val="24"/>
        </w:rPr>
        <w:t>Laboratory report narratives</w:t>
      </w:r>
    </w:p>
    <w:p w14:paraId="3F13D953" w14:textId="77777777" w:rsidR="00A55E2A" w:rsidRPr="002A698E" w:rsidRDefault="00A55E2A" w:rsidP="00A55E2A">
      <w:pPr>
        <w:numPr>
          <w:ilvl w:val="0"/>
          <w:numId w:val="1"/>
        </w:numPr>
        <w:shd w:val="clear" w:color="auto" w:fill="FFFFFF"/>
        <w:spacing w:after="0" w:line="240" w:lineRule="auto"/>
        <w:ind w:left="564"/>
        <w:textAlignment w:val="baseline"/>
        <w:rPr>
          <w:rFonts w:eastAsia="Times New Roman" w:cstheme="minorHAnsi"/>
          <w:color w:val="0A0A0A"/>
          <w:sz w:val="24"/>
          <w:szCs w:val="24"/>
        </w:rPr>
      </w:pPr>
      <w:r w:rsidRPr="002A698E">
        <w:rPr>
          <w:rFonts w:eastAsia="Times New Roman" w:cstheme="minorHAnsi"/>
          <w:color w:val="0A0A0A"/>
          <w:sz w:val="24"/>
          <w:szCs w:val="24"/>
        </w:rPr>
        <w:t>Pathology report narratives</w:t>
      </w:r>
    </w:p>
    <w:p w14:paraId="7785226F" w14:textId="77777777" w:rsidR="00A55E2A" w:rsidRPr="002A698E" w:rsidRDefault="00A55E2A" w:rsidP="00A55E2A">
      <w:pPr>
        <w:numPr>
          <w:ilvl w:val="0"/>
          <w:numId w:val="1"/>
        </w:numPr>
        <w:shd w:val="clear" w:color="auto" w:fill="FFFFFF"/>
        <w:spacing w:after="0" w:line="240" w:lineRule="auto"/>
        <w:ind w:left="564"/>
        <w:textAlignment w:val="baseline"/>
        <w:rPr>
          <w:rFonts w:eastAsia="Times New Roman" w:cstheme="minorHAnsi"/>
          <w:color w:val="0A0A0A"/>
          <w:sz w:val="24"/>
          <w:szCs w:val="24"/>
        </w:rPr>
      </w:pPr>
      <w:r w:rsidRPr="002A698E">
        <w:rPr>
          <w:rFonts w:eastAsia="Times New Roman" w:cstheme="minorHAnsi"/>
          <w:color w:val="0A0A0A"/>
          <w:sz w:val="24"/>
          <w:szCs w:val="24"/>
        </w:rPr>
        <w:t>Procedure notes</w:t>
      </w:r>
    </w:p>
    <w:p w14:paraId="498701FF" w14:textId="77777777" w:rsidR="00A55E2A" w:rsidRPr="002A698E" w:rsidRDefault="00A55E2A" w:rsidP="00A55E2A">
      <w:pPr>
        <w:numPr>
          <w:ilvl w:val="0"/>
          <w:numId w:val="1"/>
        </w:numPr>
        <w:shd w:val="clear" w:color="auto" w:fill="FFFFFF"/>
        <w:spacing w:after="0" w:line="240" w:lineRule="auto"/>
        <w:ind w:left="564"/>
        <w:textAlignment w:val="baseline"/>
        <w:rPr>
          <w:rFonts w:eastAsia="Times New Roman" w:cstheme="minorHAnsi"/>
          <w:color w:val="0A0A0A"/>
          <w:sz w:val="24"/>
          <w:szCs w:val="24"/>
        </w:rPr>
      </w:pPr>
      <w:r w:rsidRPr="002A698E">
        <w:rPr>
          <w:rFonts w:eastAsia="Times New Roman" w:cstheme="minorHAnsi"/>
          <w:color w:val="0A0A0A"/>
          <w:sz w:val="24"/>
          <w:szCs w:val="24"/>
        </w:rPr>
        <w:t>Progress notes</w:t>
      </w:r>
    </w:p>
    <w:p w14:paraId="5B646F46" w14:textId="77777777" w:rsidR="00A55E2A" w:rsidRPr="002A698E" w:rsidRDefault="00A55E2A" w:rsidP="00A55E2A">
      <w:pPr>
        <w:shd w:val="clear" w:color="auto" w:fill="FFFFFF"/>
        <w:spacing w:after="0" w:line="398" w:lineRule="atLeast"/>
        <w:textAlignment w:val="baseline"/>
        <w:rPr>
          <w:rFonts w:eastAsia="Times New Roman" w:cstheme="minorHAnsi"/>
          <w:color w:val="0A0A0A"/>
          <w:sz w:val="24"/>
          <w:szCs w:val="24"/>
        </w:rPr>
      </w:pPr>
      <w:r w:rsidRPr="002A698E">
        <w:rPr>
          <w:rFonts w:eastAsia="Times New Roman" w:cstheme="minorHAnsi"/>
          <w:color w:val="0A0A0A"/>
          <w:sz w:val="24"/>
          <w:szCs w:val="24"/>
        </w:rPr>
        <w:t>The following clinical notes generally are not covered by the new OCN rule:</w:t>
      </w:r>
    </w:p>
    <w:p w14:paraId="370DAFE4" w14:textId="77777777" w:rsidR="00A55E2A" w:rsidRPr="002A698E" w:rsidRDefault="00A55E2A" w:rsidP="00A55E2A">
      <w:pPr>
        <w:numPr>
          <w:ilvl w:val="0"/>
          <w:numId w:val="2"/>
        </w:numPr>
        <w:shd w:val="clear" w:color="auto" w:fill="FFFFFF"/>
        <w:spacing w:after="0" w:line="240" w:lineRule="auto"/>
        <w:ind w:left="564"/>
        <w:textAlignment w:val="baseline"/>
        <w:rPr>
          <w:rFonts w:eastAsia="Times New Roman" w:cstheme="minorHAnsi"/>
          <w:color w:val="0A0A0A"/>
          <w:sz w:val="24"/>
          <w:szCs w:val="24"/>
        </w:rPr>
      </w:pPr>
      <w:r w:rsidRPr="002A698E">
        <w:rPr>
          <w:rFonts w:eastAsia="Times New Roman" w:cstheme="minorHAnsi"/>
          <w:color w:val="0A0A0A"/>
          <w:sz w:val="24"/>
          <w:szCs w:val="24"/>
        </w:rPr>
        <w:t>Psychotherapy notes recorded (in any manner) by a mental health professional – who is </w:t>
      </w:r>
      <w:r w:rsidRPr="002A698E">
        <w:rPr>
          <w:rFonts w:eastAsia="Times New Roman" w:cstheme="minorHAnsi"/>
          <w:i/>
          <w:iCs/>
          <w:color w:val="0A0A0A"/>
          <w:sz w:val="24"/>
          <w:szCs w:val="24"/>
          <w:bdr w:val="none" w:sz="0" w:space="0" w:color="auto" w:frame="1"/>
        </w:rPr>
        <w:t>“documenting or analyzing the contents of conversation during a private counseling session or a group, joint, or family counseling session and </w:t>
      </w:r>
      <w:r w:rsidRPr="002A698E">
        <w:rPr>
          <w:rFonts w:eastAsia="Times New Roman" w:cstheme="minorHAnsi"/>
          <w:b/>
          <w:bCs/>
          <w:i/>
          <w:iCs/>
          <w:color w:val="000000"/>
          <w:sz w:val="24"/>
          <w:szCs w:val="24"/>
          <w:bdr w:val="none" w:sz="0" w:space="0" w:color="auto" w:frame="1"/>
        </w:rPr>
        <w:t>that are separated from the rest of the individual’s medical record</w:t>
      </w:r>
      <w:r w:rsidRPr="002A698E">
        <w:rPr>
          <w:rFonts w:eastAsia="Times New Roman" w:cstheme="minorHAnsi"/>
          <w:i/>
          <w:iCs/>
          <w:color w:val="0A0A0A"/>
          <w:sz w:val="24"/>
          <w:szCs w:val="24"/>
          <w:bdr w:val="none" w:sz="0" w:space="0" w:color="auto" w:frame="1"/>
        </w:rPr>
        <w:t>.”</w:t>
      </w:r>
    </w:p>
    <w:p w14:paraId="2321810A" w14:textId="77777777" w:rsidR="00A55E2A" w:rsidRPr="002A698E" w:rsidRDefault="00A55E2A" w:rsidP="00A55E2A">
      <w:pPr>
        <w:numPr>
          <w:ilvl w:val="1"/>
          <w:numId w:val="2"/>
        </w:numPr>
        <w:shd w:val="clear" w:color="auto" w:fill="FFFFFF"/>
        <w:spacing w:after="0" w:line="240" w:lineRule="auto"/>
        <w:ind w:left="1128"/>
        <w:textAlignment w:val="baseline"/>
        <w:rPr>
          <w:rFonts w:eastAsia="Times New Roman" w:cstheme="minorHAnsi"/>
          <w:color w:val="0A0A0A"/>
          <w:sz w:val="24"/>
          <w:szCs w:val="24"/>
        </w:rPr>
      </w:pPr>
      <w:r w:rsidRPr="002A698E">
        <w:rPr>
          <w:rFonts w:eastAsia="Times New Roman" w:cstheme="minorHAnsi"/>
          <w:i/>
          <w:iCs/>
          <w:color w:val="0A0A0A"/>
          <w:sz w:val="24"/>
          <w:szCs w:val="24"/>
          <w:bdr w:val="none" w:sz="0" w:space="0" w:color="auto" w:frame="1"/>
        </w:rPr>
        <w:t>“Note: Clinicians and organizations </w:t>
      </w:r>
      <w:r w:rsidRPr="002A698E">
        <w:rPr>
          <w:rFonts w:eastAsia="Times New Roman" w:cstheme="minorHAnsi"/>
          <w:b/>
          <w:bCs/>
          <w:i/>
          <w:iCs/>
          <w:color w:val="000000"/>
          <w:sz w:val="24"/>
          <w:szCs w:val="24"/>
          <w:bdr w:val="none" w:sz="0" w:space="0" w:color="auto" w:frame="1"/>
        </w:rPr>
        <w:t>are required to share</w:t>
      </w:r>
      <w:r w:rsidRPr="002A698E">
        <w:rPr>
          <w:rFonts w:eastAsia="Times New Roman" w:cstheme="minorHAnsi"/>
          <w:i/>
          <w:iCs/>
          <w:color w:val="0A0A0A"/>
          <w:sz w:val="24"/>
          <w:szCs w:val="24"/>
          <w:bdr w:val="none" w:sz="0" w:space="0" w:color="auto" w:frame="1"/>
        </w:rPr>
        <w:t> medication prescription and monitoring, counseling session start and stop times, the modalities and frequencies of treatment furnished, results of clinical tests, and any summary of the following items: Diagnosis, functional status, the treatment plan, symptoms, prognosis, and progress to date.”</w:t>
      </w:r>
    </w:p>
    <w:p w14:paraId="576033D9" w14:textId="77777777" w:rsidR="00A55E2A" w:rsidRPr="002A698E" w:rsidRDefault="00A55E2A" w:rsidP="00A55E2A">
      <w:pPr>
        <w:numPr>
          <w:ilvl w:val="0"/>
          <w:numId w:val="2"/>
        </w:numPr>
        <w:shd w:val="clear" w:color="auto" w:fill="FFFFFF"/>
        <w:spacing w:after="0" w:line="240" w:lineRule="auto"/>
        <w:ind w:left="564"/>
        <w:textAlignment w:val="baseline"/>
        <w:rPr>
          <w:rFonts w:eastAsia="Times New Roman" w:cstheme="minorHAnsi"/>
          <w:color w:val="0A0A0A"/>
          <w:sz w:val="24"/>
          <w:szCs w:val="24"/>
        </w:rPr>
      </w:pPr>
      <w:r w:rsidRPr="002A698E">
        <w:rPr>
          <w:rFonts w:eastAsia="Times New Roman" w:cstheme="minorHAnsi"/>
          <w:color w:val="0A0A0A"/>
          <w:sz w:val="24"/>
          <w:szCs w:val="24"/>
        </w:rPr>
        <w:t>Information that was gathered to be used in a criminal, civil, or administrative proceeding.</w:t>
      </w:r>
    </w:p>
    <w:p w14:paraId="20B1F628" w14:textId="77777777" w:rsidR="00A55E2A" w:rsidRDefault="00A55E2A" w:rsidP="00A55E2A">
      <w:pPr>
        <w:shd w:val="clear" w:color="auto" w:fill="FFFFFF"/>
        <w:spacing w:after="300" w:line="398" w:lineRule="atLeast"/>
        <w:textAlignment w:val="baseline"/>
        <w:rPr>
          <w:rFonts w:eastAsia="Times New Roman" w:cstheme="minorHAnsi"/>
          <w:color w:val="0A0A0A"/>
          <w:sz w:val="24"/>
          <w:szCs w:val="24"/>
        </w:rPr>
      </w:pPr>
    </w:p>
    <w:p w14:paraId="663D2CB4" w14:textId="77777777" w:rsidR="00A55E2A" w:rsidRPr="00C47CD4" w:rsidRDefault="00A55E2A" w:rsidP="00A55E2A">
      <w:pPr>
        <w:shd w:val="clear" w:color="auto" w:fill="FFFFFF"/>
        <w:spacing w:after="300" w:line="398" w:lineRule="atLeast"/>
        <w:textAlignment w:val="baseline"/>
        <w:rPr>
          <w:rFonts w:eastAsia="Times New Roman" w:cstheme="minorHAnsi"/>
          <w:b/>
          <w:color w:val="0A0A0A"/>
          <w:sz w:val="24"/>
          <w:szCs w:val="24"/>
        </w:rPr>
      </w:pPr>
      <w:r w:rsidRPr="00C47CD4">
        <w:rPr>
          <w:rFonts w:eastAsia="Times New Roman" w:cstheme="minorHAnsi"/>
          <w:b/>
          <w:color w:val="0A0A0A"/>
          <w:sz w:val="24"/>
          <w:szCs w:val="24"/>
        </w:rPr>
        <w:t>When do clinical notes have to be shared?</w:t>
      </w:r>
    </w:p>
    <w:p w14:paraId="53E8DCDE" w14:textId="77777777" w:rsidR="00A55E2A" w:rsidRPr="002A698E" w:rsidRDefault="00A55E2A" w:rsidP="00A55E2A">
      <w:pPr>
        <w:shd w:val="clear" w:color="auto" w:fill="FFFFFF"/>
        <w:spacing w:after="300" w:line="398" w:lineRule="atLeast"/>
        <w:textAlignment w:val="baseline"/>
        <w:rPr>
          <w:rFonts w:eastAsia="Times New Roman" w:cstheme="minorHAnsi"/>
          <w:color w:val="0A0A0A"/>
          <w:sz w:val="24"/>
          <w:szCs w:val="24"/>
        </w:rPr>
      </w:pPr>
      <w:r w:rsidRPr="002A698E">
        <w:rPr>
          <w:rFonts w:eastAsia="Times New Roman" w:cstheme="minorHAnsi"/>
          <w:color w:val="0A0A0A"/>
          <w:sz w:val="24"/>
          <w:szCs w:val="24"/>
        </w:rPr>
        <w:t>Clinical notes must be shared with patients (on request) by health systems starting on April 5, 2021 – and with a patient’s third-party ap</w:t>
      </w:r>
      <w:r>
        <w:rPr>
          <w:rFonts w:eastAsia="Times New Roman" w:cstheme="minorHAnsi"/>
          <w:color w:val="0A0A0A"/>
          <w:sz w:val="24"/>
          <w:szCs w:val="24"/>
        </w:rPr>
        <w:t xml:space="preserve">p </w:t>
      </w:r>
      <w:r w:rsidRPr="002A698E">
        <w:rPr>
          <w:rFonts w:eastAsia="Times New Roman" w:cstheme="minorHAnsi"/>
          <w:color w:val="0A0A0A"/>
          <w:sz w:val="24"/>
          <w:szCs w:val="24"/>
        </w:rPr>
        <w:t>by October 6, 2022.</w:t>
      </w:r>
    </w:p>
    <w:p w14:paraId="276E0492" w14:textId="77777777" w:rsidR="00A55E2A" w:rsidRPr="002A698E" w:rsidRDefault="00A55E2A" w:rsidP="00A55E2A">
      <w:pPr>
        <w:shd w:val="clear" w:color="auto" w:fill="FFFFFF"/>
        <w:spacing w:after="300" w:line="398" w:lineRule="atLeast"/>
        <w:textAlignment w:val="baseline"/>
        <w:rPr>
          <w:rFonts w:eastAsia="Times New Roman" w:cstheme="minorHAnsi"/>
          <w:color w:val="0A0A0A"/>
          <w:sz w:val="24"/>
          <w:szCs w:val="24"/>
        </w:rPr>
      </w:pPr>
      <w:r w:rsidRPr="002A698E">
        <w:rPr>
          <w:rFonts w:eastAsia="Times New Roman" w:cstheme="minorHAnsi"/>
          <w:color w:val="0A0A0A"/>
          <w:sz w:val="24"/>
          <w:szCs w:val="24"/>
        </w:rPr>
        <w:t>Generally clinical notes cannot be blocked unless one o</w:t>
      </w:r>
      <w:r>
        <w:rPr>
          <w:rFonts w:eastAsia="Times New Roman" w:cstheme="minorHAnsi"/>
          <w:color w:val="0A0A0A"/>
          <w:sz w:val="24"/>
          <w:szCs w:val="24"/>
        </w:rPr>
        <w:t>f the 8 exceptions to the Rule</w:t>
      </w:r>
      <w:r w:rsidRPr="002A698E">
        <w:rPr>
          <w:rFonts w:eastAsia="Times New Roman" w:cstheme="minorHAnsi"/>
          <w:color w:val="0A0A0A"/>
          <w:sz w:val="24"/>
          <w:szCs w:val="24"/>
        </w:rPr>
        <w:t xml:space="preserve"> apply.</w:t>
      </w:r>
    </w:p>
    <w:p w14:paraId="42B2194D" w14:textId="77777777" w:rsidR="00A55E2A" w:rsidRDefault="00A55E2A" w:rsidP="00A55E2A">
      <w:pPr>
        <w:rPr>
          <w:rFonts w:cstheme="minorHAnsi"/>
          <w:b/>
          <w:sz w:val="24"/>
          <w:szCs w:val="24"/>
          <w:u w:val="single"/>
        </w:rPr>
      </w:pPr>
    </w:p>
    <w:p w14:paraId="458164A8" w14:textId="77777777" w:rsidR="00A55E2A" w:rsidRDefault="00A55E2A" w:rsidP="00A55E2A">
      <w:pPr>
        <w:rPr>
          <w:rFonts w:cstheme="minorHAnsi"/>
          <w:sz w:val="24"/>
          <w:szCs w:val="24"/>
        </w:rPr>
      </w:pPr>
      <w:r w:rsidRPr="002A698E">
        <w:rPr>
          <w:rFonts w:cstheme="minorHAnsi"/>
          <w:sz w:val="24"/>
          <w:szCs w:val="24"/>
        </w:rPr>
        <w:t>Resources:</w:t>
      </w:r>
    </w:p>
    <w:p w14:paraId="0FFF5807" w14:textId="77777777" w:rsidR="00A55E2A" w:rsidRPr="00680690" w:rsidRDefault="00A55E2A" w:rsidP="00A55E2A">
      <w:pPr>
        <w:spacing w:before="90" w:after="90" w:line="240" w:lineRule="auto"/>
        <w:textAlignment w:val="baseline"/>
        <w:rPr>
          <w:rFonts w:cstheme="minorHAnsi"/>
          <w:b/>
          <w:color w:val="000000" w:themeColor="text1"/>
          <w:sz w:val="24"/>
          <w:szCs w:val="24"/>
        </w:rPr>
      </w:pPr>
      <w:hyperlink r:id="rId6" w:history="1">
        <w:r w:rsidRPr="00680690">
          <w:rPr>
            <w:rStyle w:val="Hyperlink"/>
            <w:rFonts w:cstheme="minorHAnsi"/>
            <w:color w:val="000000" w:themeColor="text1"/>
            <w:sz w:val="24"/>
            <w:szCs w:val="24"/>
          </w:rPr>
          <w:t>https://www.opennotes.org/onc-federal-rule/</w:t>
        </w:r>
      </w:hyperlink>
    </w:p>
    <w:p w14:paraId="51E0B399" w14:textId="77777777" w:rsidR="00A55E2A" w:rsidRPr="00B66D49" w:rsidRDefault="00A55E2A" w:rsidP="00A55E2A">
      <w:pPr>
        <w:spacing w:before="90" w:after="90" w:line="240" w:lineRule="auto"/>
        <w:textAlignment w:val="baseline"/>
        <w:rPr>
          <w:rFonts w:cstheme="minorHAnsi"/>
          <w:sz w:val="24"/>
          <w:szCs w:val="24"/>
        </w:rPr>
      </w:pPr>
      <w:hyperlink r:id="rId7" w:history="1">
        <w:r w:rsidRPr="00B66D49">
          <w:rPr>
            <w:rStyle w:val="Hyperlink"/>
            <w:rFonts w:cstheme="minorHAnsi"/>
            <w:sz w:val="24"/>
            <w:szCs w:val="24"/>
          </w:rPr>
          <w:t>https://www.ama-assn.org/system/files/2020-02/patient-records-playbook.pdf</w:t>
        </w:r>
      </w:hyperlink>
    </w:p>
    <w:p w14:paraId="3456D11F" w14:textId="77777777" w:rsidR="00A55E2A" w:rsidRPr="00B66D49" w:rsidRDefault="00A55E2A" w:rsidP="00A55E2A">
      <w:pPr>
        <w:spacing w:before="90" w:after="90" w:line="240" w:lineRule="auto"/>
        <w:textAlignment w:val="baseline"/>
        <w:rPr>
          <w:rFonts w:cstheme="minorHAnsi"/>
          <w:sz w:val="24"/>
          <w:szCs w:val="24"/>
        </w:rPr>
      </w:pPr>
      <w:hyperlink r:id="rId8" w:history="1">
        <w:r w:rsidRPr="00B66D49">
          <w:rPr>
            <w:rStyle w:val="Hyperlink"/>
            <w:rFonts w:cstheme="minorHAnsi"/>
            <w:sz w:val="24"/>
            <w:szCs w:val="24"/>
          </w:rPr>
          <w:t>https://journal.ahima.org/the-compliance-clock-is-ticking-on-oncs-21st-century-cures-act-regulations/</w:t>
        </w:r>
      </w:hyperlink>
    </w:p>
    <w:p w14:paraId="01A15241" w14:textId="77777777" w:rsidR="00A55E2A" w:rsidRPr="00395576" w:rsidRDefault="00A55E2A" w:rsidP="00A55E2A">
      <w:pPr>
        <w:rPr>
          <w:rFonts w:cstheme="minorHAnsi"/>
          <w:sz w:val="24"/>
          <w:szCs w:val="24"/>
        </w:rPr>
      </w:pPr>
      <w:r w:rsidRPr="00395576">
        <w:rPr>
          <w:rFonts w:cstheme="minorHAnsi"/>
          <w:sz w:val="24"/>
          <w:szCs w:val="24"/>
        </w:rPr>
        <w:t>https://www.ama-assn.org/system/files/2020-10/onc-final-rule-ama-summary.pdf</w:t>
      </w:r>
    </w:p>
    <w:p w14:paraId="24DD3FBD" w14:textId="77777777" w:rsidR="00A55E2A" w:rsidRPr="00395576" w:rsidRDefault="00A55E2A" w:rsidP="00A55E2A">
      <w:pPr>
        <w:rPr>
          <w:rFonts w:cstheme="minorHAnsi"/>
          <w:sz w:val="24"/>
          <w:szCs w:val="24"/>
        </w:rPr>
      </w:pPr>
      <w:hyperlink r:id="rId9" w:history="1">
        <w:r w:rsidRPr="00B66D49">
          <w:rPr>
            <w:rStyle w:val="Hyperlink"/>
            <w:rFonts w:cstheme="minorHAnsi"/>
            <w:sz w:val="24"/>
            <w:szCs w:val="24"/>
          </w:rPr>
          <w:t>https://www.healthit.gov/curesrule/resources/information-blocking-faqs</w:t>
        </w:r>
      </w:hyperlink>
    </w:p>
    <w:p w14:paraId="56E2EB02" w14:textId="77777777" w:rsidR="00A55E2A" w:rsidRPr="00395576" w:rsidRDefault="00A55E2A" w:rsidP="00A55E2A">
      <w:pPr>
        <w:rPr>
          <w:rFonts w:cstheme="minorHAnsi"/>
          <w:sz w:val="24"/>
          <w:szCs w:val="24"/>
        </w:rPr>
      </w:pPr>
      <w:hyperlink r:id="rId10" w:history="1">
        <w:r w:rsidRPr="00B66D49">
          <w:rPr>
            <w:rStyle w:val="Hyperlink"/>
            <w:rFonts w:cstheme="minorHAnsi"/>
            <w:sz w:val="24"/>
            <w:szCs w:val="24"/>
          </w:rPr>
          <w:t>https://www.healthit.gov/curesrule/what-it-means-for-me/clinicians</w:t>
        </w:r>
      </w:hyperlink>
    </w:p>
    <w:p w14:paraId="5A5E9DA7" w14:textId="7086C375" w:rsidR="00A55E2A" w:rsidRDefault="00A55E2A" w:rsidP="00A55E2A">
      <w:pPr>
        <w:rPr>
          <w:rFonts w:cstheme="minorHAnsi"/>
          <w:b/>
          <w:sz w:val="24"/>
          <w:szCs w:val="24"/>
          <w:u w:val="single"/>
        </w:rPr>
      </w:pPr>
      <w:hyperlink r:id="rId11" w:history="1">
        <w:r w:rsidRPr="00B66D49">
          <w:rPr>
            <w:rStyle w:val="Hyperlink"/>
            <w:rFonts w:cstheme="minorHAnsi"/>
            <w:sz w:val="24"/>
            <w:szCs w:val="24"/>
          </w:rPr>
          <w:t>https://sironastrategies.com/wp-content/uploads/2020/03/HIT-Leadership-Roundtable-WP-FINAL.pdf</w:t>
        </w:r>
      </w:hyperlink>
      <w:bookmarkStart w:id="0" w:name="_GoBack"/>
      <w:bookmarkEnd w:id="0"/>
    </w:p>
    <w:sectPr w:rsidR="00A55E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C4ABD"/>
    <w:multiLevelType w:val="hybridMultilevel"/>
    <w:tmpl w:val="E110C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4A3875"/>
    <w:multiLevelType w:val="hybridMultilevel"/>
    <w:tmpl w:val="2CD40BA2"/>
    <w:lvl w:ilvl="0" w:tplc="4858B332">
      <w:start w:val="1"/>
      <w:numFmt w:val="bullet"/>
      <w:lvlText w:val="□"/>
      <w:lvlJc w:val="left"/>
      <w:pPr>
        <w:ind w:left="720" w:hanging="360"/>
      </w:pPr>
      <w:rPr>
        <w:rFonts w:ascii="Courier New" w:hAnsi="Courier New"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7B4242"/>
    <w:multiLevelType w:val="multilevel"/>
    <w:tmpl w:val="4A6A59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30417E5"/>
    <w:multiLevelType w:val="hybridMultilevel"/>
    <w:tmpl w:val="B70A8BD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911ED2"/>
    <w:multiLevelType w:val="multilevel"/>
    <w:tmpl w:val="CCB48D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E2A"/>
    <w:rsid w:val="003A026A"/>
    <w:rsid w:val="006D6129"/>
    <w:rsid w:val="007B48F7"/>
    <w:rsid w:val="008F2D96"/>
    <w:rsid w:val="00A44557"/>
    <w:rsid w:val="00A55E2A"/>
    <w:rsid w:val="00D14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F2AA94"/>
  <w14:defaultImageDpi w14:val="32767"/>
  <w15:chartTrackingRefBased/>
  <w15:docId w15:val="{2D04328C-B018-7C41-A568-01F91717D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55E2A"/>
    <w:pPr>
      <w:spacing w:after="200" w:line="276" w:lineRule="auto"/>
    </w:pPr>
    <w:rPr>
      <w:sz w:val="22"/>
      <w:szCs w:val="22"/>
    </w:rPr>
  </w:style>
  <w:style w:type="paragraph" w:styleId="Heading2">
    <w:name w:val="heading 2"/>
    <w:basedOn w:val="Normal"/>
    <w:link w:val="Heading2Char"/>
    <w:uiPriority w:val="9"/>
    <w:qFormat/>
    <w:rsid w:val="00A55E2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5E2A"/>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A55E2A"/>
    <w:rPr>
      <w:color w:val="0000FF"/>
      <w:u w:val="single"/>
    </w:rPr>
  </w:style>
  <w:style w:type="paragraph" w:styleId="NormalWeb">
    <w:name w:val="Normal (Web)"/>
    <w:basedOn w:val="Normal"/>
    <w:uiPriority w:val="99"/>
    <w:unhideWhenUsed/>
    <w:rsid w:val="00A55E2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55E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hima.org/the-compliance-clock-is-ticking-on-oncs-21st-century-cures-act-regulati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ma-assn.org/system/files/2020-02/patient-records-playbook.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pennotes.org/onc-federal-rule/" TargetMode="External"/><Relationship Id="rId11" Type="http://schemas.openxmlformats.org/officeDocument/2006/relationships/hyperlink" Target="https://sironastrategies.com/wp-content/uploads/2020/03/HIT-Leadership-Roundtable-WP-FINAL.pdf" TargetMode="External"/><Relationship Id="rId5" Type="http://schemas.openxmlformats.org/officeDocument/2006/relationships/hyperlink" Target="https://www.opennotes.org/onc-federal-rule-interoperabilty-information-blocking-and-open-notes/?utm_source=STAT+Newsletters&amp;utm_campaign=09fda3ad1c-health_tech_COPY_02&amp;utm_medium=email&amp;utm_term=0_8cab1d7961-09fda3ad1c-151651713" TargetMode="External"/><Relationship Id="rId10" Type="http://schemas.openxmlformats.org/officeDocument/2006/relationships/hyperlink" Target="https://www.healthit.gov/curesrule/what-it-means-for-me/clinicians" TargetMode="External"/><Relationship Id="rId4" Type="http://schemas.openxmlformats.org/officeDocument/2006/relationships/webSettings" Target="webSettings.xml"/><Relationship Id="rId9" Type="http://schemas.openxmlformats.org/officeDocument/2006/relationships/hyperlink" Target="https://www.healthit.gov/curesrule/resources/information-blocking-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762</Words>
  <Characters>3904</Characters>
  <Application>Microsoft Office Word</Application>
  <DocSecurity>0</DocSecurity>
  <Lines>75</Lines>
  <Paragraphs>26</Paragraphs>
  <ScaleCrop>false</ScaleCrop>
  <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Conradt</dc:creator>
  <cp:keywords/>
  <dc:description/>
  <cp:lastModifiedBy>Stacy Conradt</cp:lastModifiedBy>
  <cp:revision>1</cp:revision>
  <dcterms:created xsi:type="dcterms:W3CDTF">2021-03-16T18:23:00Z</dcterms:created>
  <dcterms:modified xsi:type="dcterms:W3CDTF">2021-03-16T18:24:00Z</dcterms:modified>
</cp:coreProperties>
</file>