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16911" w14:textId="77777777" w:rsidR="009F22D9" w:rsidRDefault="009F22D9" w:rsidP="009F22D9">
      <w:pPr>
        <w:rPr>
          <w:b/>
          <w:sz w:val="32"/>
          <w:szCs w:val="32"/>
        </w:rPr>
      </w:pPr>
      <w:r w:rsidRPr="00430052">
        <w:rPr>
          <w:b/>
          <w:sz w:val="32"/>
          <w:szCs w:val="32"/>
        </w:rPr>
        <w:t>The Cures Act Final Rule and Information Blocking</w:t>
      </w:r>
    </w:p>
    <w:p w14:paraId="04F86BEC" w14:textId="77777777" w:rsidR="009F22D9" w:rsidRDefault="009F22D9" w:rsidP="009F22D9">
      <w:pPr>
        <w:rPr>
          <w:b/>
          <w:sz w:val="32"/>
          <w:szCs w:val="32"/>
        </w:rPr>
      </w:pPr>
      <w:r>
        <w:rPr>
          <w:b/>
          <w:sz w:val="32"/>
          <w:szCs w:val="32"/>
        </w:rPr>
        <w:t>Risk Tip Sheet 3</w:t>
      </w:r>
    </w:p>
    <w:p w14:paraId="4950FFCC" w14:textId="77777777" w:rsidR="009F22D9" w:rsidRPr="00430052" w:rsidRDefault="009F22D9" w:rsidP="009F22D9">
      <w:pPr>
        <w:rPr>
          <w:b/>
          <w:sz w:val="32"/>
          <w:szCs w:val="32"/>
        </w:rPr>
      </w:pPr>
    </w:p>
    <w:p w14:paraId="4371FE64" w14:textId="77777777" w:rsidR="009F22D9" w:rsidRPr="00A9557C" w:rsidRDefault="009F22D9" w:rsidP="009F22D9">
      <w:pPr>
        <w:rPr>
          <w:b/>
        </w:rPr>
      </w:pPr>
      <w:r w:rsidRPr="00A9557C">
        <w:rPr>
          <w:b/>
        </w:rPr>
        <w:t xml:space="preserve">What is information blocking (IB)? </w:t>
      </w:r>
    </w:p>
    <w:p w14:paraId="07390E89" w14:textId="77777777" w:rsidR="009F22D9" w:rsidRDefault="009F22D9" w:rsidP="009F22D9">
      <w:r>
        <w:t>The Cures Act Final defines information blocking (IB) as any practice that is likely to interfere with, prevent, or materially discourage access, exchange, or use of Electron Health Information (EHI) when the entity knows it is likely to do so.  (45 CFR &amp; 171.103)</w:t>
      </w:r>
    </w:p>
    <w:p w14:paraId="32EF46D5" w14:textId="77777777" w:rsidR="009F22D9" w:rsidRDefault="009F22D9" w:rsidP="009F22D9">
      <w:r>
        <w:t xml:space="preserve">When IB occurs, penalties or other disincentives determined by the HHS Secretary will follow unless required by law or an exception to IB is met. </w:t>
      </w:r>
    </w:p>
    <w:p w14:paraId="207D2189" w14:textId="77777777" w:rsidR="009F22D9" w:rsidRDefault="009F22D9" w:rsidP="009F22D9">
      <w:r>
        <w:t>IB will change how you respond to requests for EHI.</w:t>
      </w:r>
    </w:p>
    <w:p w14:paraId="7B7C5B88" w14:textId="77777777" w:rsidR="009F22D9" w:rsidRDefault="009F22D9" w:rsidP="009F22D9"/>
    <w:p w14:paraId="6CD07DA5" w14:textId="77777777" w:rsidR="009F22D9" w:rsidRPr="00B66D49" w:rsidRDefault="009F22D9" w:rsidP="009F22D9">
      <w:pPr>
        <w:rPr>
          <w:b/>
        </w:rPr>
      </w:pPr>
      <w:r w:rsidRPr="00B66D49">
        <w:rPr>
          <w:b/>
        </w:rPr>
        <w:t>How will HHS handle information blocking complaints?</w:t>
      </w:r>
    </w:p>
    <w:p w14:paraId="15710BEB" w14:textId="77777777" w:rsidR="009F22D9" w:rsidRDefault="009F22D9" w:rsidP="009F22D9">
      <w:r>
        <w:t xml:space="preserve">According to HHS, complaints will be handled on a case-by-case basis. </w:t>
      </w:r>
    </w:p>
    <w:p w14:paraId="2CE2FC48" w14:textId="77777777" w:rsidR="009F22D9" w:rsidRDefault="009F22D9" w:rsidP="009F22D9"/>
    <w:p w14:paraId="1AF51BB1" w14:textId="77777777" w:rsidR="009F22D9" w:rsidRPr="00A9557C" w:rsidRDefault="009F22D9" w:rsidP="009F22D9">
      <w:pPr>
        <w:rPr>
          <w:b/>
        </w:rPr>
      </w:pPr>
      <w:r w:rsidRPr="00A9557C">
        <w:rPr>
          <w:b/>
        </w:rPr>
        <w:t>Who is subject to the information blocking policies?</w:t>
      </w:r>
    </w:p>
    <w:p w14:paraId="48341E5B" w14:textId="77777777" w:rsidR="009F22D9" w:rsidRDefault="009F22D9" w:rsidP="009F22D9">
      <w:r>
        <w:t xml:space="preserve">The Cures Act identified three types of participants in health care, called actors, covered under information blocking: </w:t>
      </w:r>
    </w:p>
    <w:p w14:paraId="127D66B9" w14:textId="77777777" w:rsidR="009F22D9" w:rsidRDefault="009F22D9" w:rsidP="009F22D9">
      <w:pPr>
        <w:pStyle w:val="ListParagraph"/>
        <w:numPr>
          <w:ilvl w:val="0"/>
          <w:numId w:val="1"/>
        </w:numPr>
      </w:pPr>
      <w:r>
        <w:t>health care providers</w:t>
      </w:r>
    </w:p>
    <w:p w14:paraId="6FDA7CA1" w14:textId="77777777" w:rsidR="009F22D9" w:rsidRDefault="009F22D9" w:rsidP="009F22D9">
      <w:pPr>
        <w:pStyle w:val="ListParagraph"/>
        <w:numPr>
          <w:ilvl w:val="0"/>
          <w:numId w:val="1"/>
        </w:numPr>
      </w:pPr>
      <w:r>
        <w:t>health IT developers of certified health IT</w:t>
      </w:r>
    </w:p>
    <w:p w14:paraId="2BEC19E3" w14:textId="77777777" w:rsidR="009F22D9" w:rsidRDefault="009F22D9" w:rsidP="009F22D9">
      <w:pPr>
        <w:pStyle w:val="ListParagraph"/>
        <w:numPr>
          <w:ilvl w:val="0"/>
          <w:numId w:val="1"/>
        </w:numPr>
      </w:pPr>
      <w:r>
        <w:t xml:space="preserve">health information networks (HINs) and health information exchanges (HIEs). </w:t>
      </w:r>
    </w:p>
    <w:p w14:paraId="1BA9D470" w14:textId="77777777" w:rsidR="009F22D9" w:rsidRDefault="009F22D9" w:rsidP="009F22D9"/>
    <w:p w14:paraId="5D477E4A" w14:textId="77777777" w:rsidR="009F22D9" w:rsidRPr="00A9557C" w:rsidRDefault="009F22D9" w:rsidP="009F22D9">
      <w:pPr>
        <w:rPr>
          <w:b/>
        </w:rPr>
      </w:pPr>
      <w:r w:rsidRPr="00A9557C">
        <w:rPr>
          <w:b/>
        </w:rPr>
        <w:t>Information Blocking Basics:</w:t>
      </w:r>
    </w:p>
    <w:p w14:paraId="1AC4C02A" w14:textId="77777777" w:rsidR="009F22D9" w:rsidRDefault="009F22D9" w:rsidP="009F22D9">
      <w:r>
        <w:t>1.</w:t>
      </w:r>
      <w:r>
        <w:tab/>
        <w:t xml:space="preserve">The law applies to the access, exchange, and use of EHI regardless of what technology is used.  </w:t>
      </w:r>
    </w:p>
    <w:p w14:paraId="090CD896" w14:textId="77777777" w:rsidR="009F22D9" w:rsidRDefault="009F22D9" w:rsidP="009F22D9">
      <w:r>
        <w:t>2.</w:t>
      </w:r>
      <w:r>
        <w:tab/>
        <w:t>State laws still apply</w:t>
      </w:r>
    </w:p>
    <w:p w14:paraId="4CDDB75A" w14:textId="77777777" w:rsidR="009F22D9" w:rsidRDefault="009F22D9" w:rsidP="009F22D9">
      <w:r>
        <w:t>3.</w:t>
      </w:r>
      <w:r>
        <w:tab/>
        <w:t>The law applies to actors referenced above</w:t>
      </w:r>
    </w:p>
    <w:p w14:paraId="70CFCEC2" w14:textId="77777777" w:rsidR="009F22D9" w:rsidRDefault="009F22D9" w:rsidP="009F22D9">
      <w:r>
        <w:t>4.</w:t>
      </w:r>
      <w:r>
        <w:tab/>
        <w:t>Penalties identified and established for information blocking vary by entity</w:t>
      </w:r>
    </w:p>
    <w:p w14:paraId="6F3BEB39" w14:textId="77777777" w:rsidR="009F22D9" w:rsidRDefault="009F22D9" w:rsidP="009F22D9"/>
    <w:p w14:paraId="68BBE88F" w14:textId="77777777" w:rsidR="009F22D9" w:rsidRDefault="009F22D9" w:rsidP="009F22D9">
      <w:pPr>
        <w:pStyle w:val="Heading2"/>
        <w:textAlignment w:val="baseline"/>
        <w:rPr>
          <w:rFonts w:asciiTheme="minorHAnsi" w:hAnsiTheme="minorHAnsi" w:cstheme="minorHAnsi"/>
          <w:color w:val="000000"/>
          <w:sz w:val="24"/>
          <w:szCs w:val="24"/>
        </w:rPr>
      </w:pPr>
    </w:p>
    <w:p w14:paraId="0BD5A3B9" w14:textId="77777777" w:rsidR="009F22D9" w:rsidRPr="002A698E" w:rsidRDefault="009F22D9" w:rsidP="009F22D9">
      <w:pPr>
        <w:pStyle w:val="Heading2"/>
        <w:textAlignment w:val="baseline"/>
        <w:rPr>
          <w:rFonts w:asciiTheme="minorHAnsi" w:hAnsiTheme="minorHAnsi" w:cstheme="minorHAnsi"/>
          <w:color w:val="000000"/>
          <w:sz w:val="24"/>
          <w:szCs w:val="24"/>
        </w:rPr>
      </w:pPr>
      <w:r w:rsidRPr="002A698E">
        <w:rPr>
          <w:rFonts w:asciiTheme="minorHAnsi" w:hAnsiTheme="minorHAnsi" w:cstheme="minorHAnsi"/>
          <w:color w:val="000000"/>
          <w:sz w:val="24"/>
          <w:szCs w:val="24"/>
        </w:rPr>
        <w:t>What’s Covered Under Information Blocking?</w:t>
      </w:r>
    </w:p>
    <w:p w14:paraId="1DF6A7A8" w14:textId="77777777" w:rsidR="009F22D9" w:rsidRPr="002A698E" w:rsidRDefault="009F22D9" w:rsidP="009F22D9">
      <w:pPr>
        <w:pStyle w:val="NormalWeb"/>
        <w:textAlignment w:val="baseline"/>
        <w:rPr>
          <w:rFonts w:asciiTheme="minorHAnsi" w:hAnsiTheme="minorHAnsi" w:cstheme="minorHAnsi"/>
          <w:color w:val="333333"/>
        </w:rPr>
      </w:pPr>
      <w:r w:rsidRPr="002A698E">
        <w:rPr>
          <w:rFonts w:asciiTheme="minorHAnsi" w:hAnsiTheme="minorHAnsi" w:cstheme="minorHAnsi"/>
          <w:color w:val="333333"/>
        </w:rPr>
        <w:t>IB policies apply to all electronically protected health information (</w:t>
      </w:r>
      <w:r>
        <w:rPr>
          <w:rFonts w:asciiTheme="minorHAnsi" w:hAnsiTheme="minorHAnsi" w:cstheme="minorHAnsi"/>
          <w:color w:val="333333"/>
        </w:rPr>
        <w:t>E</w:t>
      </w:r>
      <w:r w:rsidRPr="002A698E">
        <w:rPr>
          <w:rFonts w:asciiTheme="minorHAnsi" w:hAnsiTheme="minorHAnsi" w:cstheme="minorHAnsi"/>
          <w:color w:val="333333"/>
        </w:rPr>
        <w:t>PHI) as defi</w:t>
      </w:r>
      <w:r>
        <w:rPr>
          <w:rFonts w:asciiTheme="minorHAnsi" w:hAnsiTheme="minorHAnsi" w:cstheme="minorHAnsi"/>
          <w:color w:val="333333"/>
        </w:rPr>
        <w:t>ned by HIPAA to the extent E</w:t>
      </w:r>
      <w:r w:rsidRPr="002A698E">
        <w:rPr>
          <w:rFonts w:asciiTheme="minorHAnsi" w:hAnsiTheme="minorHAnsi" w:cstheme="minorHAnsi"/>
          <w:color w:val="333333"/>
        </w:rPr>
        <w:t xml:space="preserve">PHI would be included in a designated record set. </w:t>
      </w:r>
    </w:p>
    <w:p w14:paraId="1A8A9B65" w14:textId="77777777" w:rsidR="009F22D9" w:rsidRPr="00B66D49" w:rsidRDefault="009F22D9" w:rsidP="009F22D9">
      <w:pPr>
        <w:rPr>
          <w:b/>
        </w:rPr>
      </w:pPr>
      <w:r w:rsidRPr="00B66D49">
        <w:rPr>
          <w:b/>
        </w:rPr>
        <w:t>Does IB apply to historical information?</w:t>
      </w:r>
    </w:p>
    <w:p w14:paraId="5278307B" w14:textId="77777777" w:rsidR="009F22D9" w:rsidRDefault="009F22D9" w:rsidP="009F22D9">
      <w:r>
        <w:t>Yes, IB applies to both historical information and future information.</w:t>
      </w:r>
    </w:p>
    <w:p w14:paraId="67E8C0C3" w14:textId="77777777" w:rsidR="009F22D9" w:rsidRPr="002A698E" w:rsidRDefault="009F22D9" w:rsidP="009F22D9">
      <w:pPr>
        <w:spacing w:before="90" w:after="90" w:line="240" w:lineRule="auto"/>
        <w:textAlignment w:val="baseline"/>
        <w:rPr>
          <w:rFonts w:cstheme="minorHAnsi"/>
          <w:color w:val="2D2D2D"/>
          <w:sz w:val="24"/>
          <w:szCs w:val="24"/>
        </w:rPr>
      </w:pPr>
    </w:p>
    <w:p w14:paraId="6737F020" w14:textId="77777777" w:rsidR="009F22D9" w:rsidRPr="002A698E" w:rsidRDefault="009F22D9" w:rsidP="009F22D9">
      <w:pPr>
        <w:rPr>
          <w:rFonts w:cstheme="minorHAnsi"/>
          <w:sz w:val="24"/>
          <w:szCs w:val="24"/>
        </w:rPr>
      </w:pPr>
    </w:p>
    <w:p w14:paraId="6803DC0E" w14:textId="77777777" w:rsidR="009F22D9" w:rsidRPr="002A698E" w:rsidRDefault="009F22D9" w:rsidP="009F22D9">
      <w:pPr>
        <w:rPr>
          <w:rFonts w:cstheme="minorHAnsi"/>
          <w:sz w:val="24"/>
          <w:szCs w:val="24"/>
        </w:rPr>
      </w:pPr>
      <w:r w:rsidRPr="002A698E">
        <w:rPr>
          <w:rFonts w:cstheme="minorHAnsi"/>
          <w:sz w:val="24"/>
          <w:szCs w:val="24"/>
        </w:rPr>
        <w:t>Resources:</w:t>
      </w:r>
    </w:p>
    <w:p w14:paraId="771DFC85" w14:textId="77777777" w:rsidR="009F22D9" w:rsidRPr="00B66D49" w:rsidRDefault="009F22D9" w:rsidP="009F22D9">
      <w:pPr>
        <w:spacing w:before="90" w:after="90" w:line="240" w:lineRule="auto"/>
        <w:textAlignment w:val="baseline"/>
        <w:rPr>
          <w:rFonts w:cstheme="minorHAnsi"/>
          <w:sz w:val="24"/>
          <w:szCs w:val="24"/>
        </w:rPr>
      </w:pPr>
      <w:hyperlink r:id="rId5" w:history="1">
        <w:r w:rsidRPr="00B66D49">
          <w:rPr>
            <w:rStyle w:val="Hyperlink"/>
            <w:rFonts w:cstheme="minorHAnsi"/>
            <w:sz w:val="24"/>
            <w:szCs w:val="24"/>
          </w:rPr>
          <w:t>https://www.ama-assn.org/system/files/2020-02/patient-records-playbook.pdf</w:t>
        </w:r>
      </w:hyperlink>
    </w:p>
    <w:p w14:paraId="546D68AF" w14:textId="77777777" w:rsidR="009F22D9" w:rsidRPr="00B66D49" w:rsidRDefault="009F22D9" w:rsidP="009F22D9">
      <w:pPr>
        <w:spacing w:before="90" w:after="90" w:line="240" w:lineRule="auto"/>
        <w:textAlignment w:val="baseline"/>
        <w:rPr>
          <w:rFonts w:cstheme="minorHAnsi"/>
          <w:sz w:val="24"/>
          <w:szCs w:val="24"/>
        </w:rPr>
      </w:pPr>
      <w:hyperlink r:id="rId6" w:history="1">
        <w:r w:rsidRPr="00B66D49">
          <w:rPr>
            <w:rStyle w:val="Hyperlink"/>
            <w:rFonts w:cstheme="minorHAnsi"/>
            <w:sz w:val="24"/>
            <w:szCs w:val="24"/>
          </w:rPr>
          <w:t>https://journal.ahima.org/the-compliance-clock-is-ticking-on-oncs-21st-century-cures-act-regulations/</w:t>
        </w:r>
      </w:hyperlink>
    </w:p>
    <w:p w14:paraId="0455F0D9" w14:textId="77777777" w:rsidR="009F22D9" w:rsidRPr="00395576" w:rsidRDefault="009F22D9" w:rsidP="009F22D9">
      <w:pPr>
        <w:rPr>
          <w:rFonts w:cstheme="minorHAnsi"/>
          <w:sz w:val="24"/>
          <w:szCs w:val="24"/>
        </w:rPr>
      </w:pPr>
      <w:r w:rsidRPr="00395576">
        <w:rPr>
          <w:rFonts w:cstheme="minorHAnsi"/>
          <w:sz w:val="24"/>
          <w:szCs w:val="24"/>
        </w:rPr>
        <w:t>https://www.ama-assn.org/system/files/2020-10/onc-final-rule-ama-summary.pdf</w:t>
      </w:r>
    </w:p>
    <w:p w14:paraId="70055E31" w14:textId="77777777" w:rsidR="009F22D9" w:rsidRPr="00395576" w:rsidRDefault="009F22D9" w:rsidP="009F22D9">
      <w:pPr>
        <w:rPr>
          <w:rFonts w:cstheme="minorHAnsi"/>
          <w:sz w:val="24"/>
          <w:szCs w:val="24"/>
        </w:rPr>
      </w:pPr>
      <w:hyperlink r:id="rId7" w:history="1">
        <w:r w:rsidRPr="00B66D49">
          <w:rPr>
            <w:rStyle w:val="Hyperlink"/>
            <w:rFonts w:cstheme="minorHAnsi"/>
            <w:sz w:val="24"/>
            <w:szCs w:val="24"/>
          </w:rPr>
          <w:t>https://www.healthit.gov/curesrule/resources/information-blocking-faqs</w:t>
        </w:r>
      </w:hyperlink>
    </w:p>
    <w:p w14:paraId="18FB61D5" w14:textId="77777777" w:rsidR="009F22D9" w:rsidRPr="00395576" w:rsidRDefault="009F22D9" w:rsidP="009F22D9">
      <w:pPr>
        <w:rPr>
          <w:rFonts w:cstheme="minorHAnsi"/>
          <w:sz w:val="24"/>
          <w:szCs w:val="24"/>
        </w:rPr>
      </w:pPr>
      <w:hyperlink r:id="rId8" w:history="1">
        <w:r w:rsidRPr="00B66D49">
          <w:rPr>
            <w:rStyle w:val="Hyperlink"/>
            <w:rFonts w:cstheme="minorHAnsi"/>
            <w:sz w:val="24"/>
            <w:szCs w:val="24"/>
          </w:rPr>
          <w:t>https://www.healthit.gov/curesrule/what-it-means-for-me/clinicians</w:t>
        </w:r>
      </w:hyperlink>
    </w:p>
    <w:p w14:paraId="7EE4EEBC" w14:textId="77777777" w:rsidR="009F22D9" w:rsidRPr="00395576" w:rsidRDefault="009F22D9" w:rsidP="009F22D9">
      <w:pPr>
        <w:pBdr>
          <w:bottom w:val="single" w:sz="12" w:space="1" w:color="auto"/>
        </w:pBdr>
        <w:rPr>
          <w:rFonts w:cstheme="minorHAnsi"/>
          <w:sz w:val="24"/>
          <w:szCs w:val="24"/>
        </w:rPr>
      </w:pPr>
      <w:hyperlink r:id="rId9" w:history="1">
        <w:r w:rsidRPr="00B66D49">
          <w:rPr>
            <w:rStyle w:val="Hyperlink"/>
            <w:rFonts w:cstheme="minorHAnsi"/>
            <w:sz w:val="24"/>
            <w:szCs w:val="24"/>
          </w:rPr>
          <w:t>https://sironastrategies.com/wp-content/uploads/2020/03/HIT-Leadership-Roundtable-WP-FINAL.pdf</w:t>
        </w:r>
      </w:hyperlink>
    </w:p>
    <w:p w14:paraId="2FA791A4" w14:textId="77777777" w:rsidR="009F22D9" w:rsidRPr="00680690" w:rsidRDefault="009F22D9" w:rsidP="009F22D9">
      <w:pPr>
        <w:spacing w:before="90" w:after="90" w:line="240" w:lineRule="auto"/>
        <w:textAlignment w:val="baseline"/>
        <w:rPr>
          <w:rFonts w:cstheme="minorHAnsi"/>
          <w:b/>
          <w:color w:val="000000" w:themeColor="text1"/>
          <w:sz w:val="24"/>
          <w:szCs w:val="24"/>
        </w:rPr>
      </w:pPr>
      <w:hyperlink r:id="rId10" w:history="1">
        <w:r w:rsidRPr="00680690">
          <w:rPr>
            <w:rStyle w:val="Hyperlink"/>
            <w:rFonts w:cstheme="minorHAnsi"/>
            <w:color w:val="000000" w:themeColor="text1"/>
            <w:sz w:val="24"/>
            <w:szCs w:val="24"/>
          </w:rPr>
          <w:t>https://www.opennotes.org/onc-federal-rule/</w:t>
        </w:r>
      </w:hyperlink>
    </w:p>
    <w:p w14:paraId="550E51B7" w14:textId="7B209F53" w:rsidR="009F22D9" w:rsidRDefault="009F22D9" w:rsidP="009F22D9">
      <w:pPr>
        <w:rPr>
          <w:rFonts w:cstheme="minorHAnsi"/>
          <w:b/>
          <w:color w:val="2D2D2D"/>
          <w:sz w:val="24"/>
          <w:szCs w:val="24"/>
        </w:rPr>
      </w:pPr>
      <w:bookmarkStart w:id="0" w:name="_GoBack"/>
      <w:bookmarkEnd w:id="0"/>
    </w:p>
    <w:sectPr w:rsidR="009F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4ABD"/>
    <w:multiLevelType w:val="hybridMultilevel"/>
    <w:tmpl w:val="E110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A3875"/>
    <w:multiLevelType w:val="hybridMultilevel"/>
    <w:tmpl w:val="2CD40BA2"/>
    <w:lvl w:ilvl="0" w:tplc="4858B332">
      <w:start w:val="1"/>
      <w:numFmt w:val="bullet"/>
      <w:lvlText w:val="□"/>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417E5"/>
    <w:multiLevelType w:val="hybridMultilevel"/>
    <w:tmpl w:val="B70A8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D9"/>
    <w:rsid w:val="003A026A"/>
    <w:rsid w:val="006D6129"/>
    <w:rsid w:val="007B48F7"/>
    <w:rsid w:val="008F2D96"/>
    <w:rsid w:val="009F22D9"/>
    <w:rsid w:val="00A44557"/>
    <w:rsid w:val="00D1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23996"/>
  <w14:defaultImageDpi w14:val="32767"/>
  <w15:chartTrackingRefBased/>
  <w15:docId w15:val="{FF6DE8E6-DFB2-094A-ABEB-9F891533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22D9"/>
    <w:pPr>
      <w:spacing w:after="200" w:line="276" w:lineRule="auto"/>
    </w:pPr>
    <w:rPr>
      <w:sz w:val="22"/>
      <w:szCs w:val="22"/>
    </w:rPr>
  </w:style>
  <w:style w:type="paragraph" w:styleId="Heading2">
    <w:name w:val="heading 2"/>
    <w:basedOn w:val="Normal"/>
    <w:link w:val="Heading2Char"/>
    <w:uiPriority w:val="9"/>
    <w:qFormat/>
    <w:rsid w:val="009F22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22D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F22D9"/>
    <w:rPr>
      <w:color w:val="0000FF"/>
      <w:u w:val="single"/>
    </w:rPr>
  </w:style>
  <w:style w:type="paragraph" w:styleId="NormalWeb">
    <w:name w:val="Normal (Web)"/>
    <w:basedOn w:val="Normal"/>
    <w:uiPriority w:val="99"/>
    <w:unhideWhenUsed/>
    <w:rsid w:val="009F22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2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it.gov/curesrule/what-it-means-for-me/clinicians" TargetMode="External"/><Relationship Id="rId3" Type="http://schemas.openxmlformats.org/officeDocument/2006/relationships/settings" Target="settings.xml"/><Relationship Id="rId7" Type="http://schemas.openxmlformats.org/officeDocument/2006/relationships/hyperlink" Target="https://www.healthit.gov/curesrule/resources/information-blocking-faq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ahima.org/the-compliance-clock-is-ticking-on-oncs-21st-century-cures-act-regulations/" TargetMode="External"/><Relationship Id="rId11" Type="http://schemas.openxmlformats.org/officeDocument/2006/relationships/fontTable" Target="fontTable.xml"/><Relationship Id="rId5" Type="http://schemas.openxmlformats.org/officeDocument/2006/relationships/hyperlink" Target="https://www.ama-assn.org/system/files/2020-02/patient-records-playbook.pdf" TargetMode="External"/><Relationship Id="rId10" Type="http://schemas.openxmlformats.org/officeDocument/2006/relationships/hyperlink" Target="https://www.opennotes.org/onc-federal-rule/" TargetMode="External"/><Relationship Id="rId4" Type="http://schemas.openxmlformats.org/officeDocument/2006/relationships/webSettings" Target="webSettings.xml"/><Relationship Id="rId9" Type="http://schemas.openxmlformats.org/officeDocument/2006/relationships/hyperlink" Target="https://sironastrategies.com/wp-content/uploads/2020/03/HIT-Leadership-Roundtable-WP-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2265</Characters>
  <Application>Microsoft Office Word</Application>
  <DocSecurity>0</DocSecurity>
  <Lines>43</Lines>
  <Paragraphs>15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Conradt</dc:creator>
  <cp:keywords/>
  <dc:description/>
  <cp:lastModifiedBy>Stacy Conradt</cp:lastModifiedBy>
  <cp:revision>1</cp:revision>
  <dcterms:created xsi:type="dcterms:W3CDTF">2021-03-16T18:24:00Z</dcterms:created>
  <dcterms:modified xsi:type="dcterms:W3CDTF">2021-03-16T18:24:00Z</dcterms:modified>
</cp:coreProperties>
</file>