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85149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b/>
          <w:color w:val="2D2D2D"/>
          <w:sz w:val="32"/>
          <w:szCs w:val="32"/>
        </w:rPr>
      </w:pPr>
      <w:r w:rsidRPr="00430052">
        <w:rPr>
          <w:rFonts w:cstheme="minorHAnsi"/>
          <w:b/>
          <w:color w:val="2D2D2D"/>
          <w:sz w:val="32"/>
          <w:szCs w:val="32"/>
        </w:rPr>
        <w:t>Compare Cures Act Final Rules to HIPAA</w:t>
      </w:r>
    </w:p>
    <w:p w14:paraId="2C032C58" w14:textId="77777777" w:rsidR="00C411BC" w:rsidRPr="00430052" w:rsidRDefault="00C411BC" w:rsidP="00C411BC">
      <w:pPr>
        <w:spacing w:before="90" w:after="90" w:line="240" w:lineRule="auto"/>
        <w:textAlignment w:val="baseline"/>
        <w:rPr>
          <w:rFonts w:cstheme="minorHAnsi"/>
          <w:b/>
          <w:color w:val="2D2D2D"/>
          <w:sz w:val="32"/>
          <w:szCs w:val="32"/>
        </w:rPr>
      </w:pPr>
      <w:r>
        <w:rPr>
          <w:rFonts w:cstheme="minorHAnsi"/>
          <w:b/>
          <w:color w:val="2D2D2D"/>
          <w:sz w:val="32"/>
          <w:szCs w:val="32"/>
        </w:rPr>
        <w:t>Risk Tip Sheet 4</w:t>
      </w:r>
    </w:p>
    <w:p w14:paraId="10C9091C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b/>
          <w:color w:val="2D2D2D"/>
          <w:sz w:val="24"/>
          <w:szCs w:val="24"/>
        </w:rPr>
      </w:pPr>
    </w:p>
    <w:p w14:paraId="0B6F222F" w14:textId="77777777" w:rsidR="00C411BC" w:rsidRPr="00B66D49" w:rsidRDefault="00C411BC" w:rsidP="00C411BC">
      <w:pPr>
        <w:spacing w:before="90" w:after="90" w:line="240" w:lineRule="auto"/>
        <w:textAlignment w:val="baseline"/>
        <w:rPr>
          <w:rFonts w:cstheme="minorHAnsi"/>
          <w:b/>
          <w:color w:val="2D2D2D"/>
          <w:sz w:val="24"/>
          <w:szCs w:val="24"/>
        </w:rPr>
      </w:pPr>
      <w:r>
        <w:rPr>
          <w:rFonts w:cstheme="minorHAnsi"/>
          <w:b/>
          <w:color w:val="2D2D2D"/>
          <w:sz w:val="24"/>
          <w:szCs w:val="24"/>
        </w:rPr>
        <w:t>How does the</w:t>
      </w:r>
      <w:r w:rsidRPr="00B66D49">
        <w:rPr>
          <w:rFonts w:cstheme="minorHAnsi"/>
          <w:b/>
          <w:color w:val="2D2D2D"/>
          <w:sz w:val="24"/>
          <w:szCs w:val="24"/>
        </w:rPr>
        <w:t xml:space="preserve"> CURES ACT </w:t>
      </w:r>
      <w:r>
        <w:rPr>
          <w:rFonts w:cstheme="minorHAnsi"/>
          <w:b/>
          <w:color w:val="2D2D2D"/>
          <w:sz w:val="24"/>
          <w:szCs w:val="24"/>
        </w:rPr>
        <w:t>differ from the</w:t>
      </w:r>
      <w:r w:rsidRPr="00B66D49">
        <w:rPr>
          <w:rFonts w:cstheme="minorHAnsi"/>
          <w:b/>
          <w:color w:val="2D2D2D"/>
          <w:sz w:val="24"/>
          <w:szCs w:val="24"/>
        </w:rPr>
        <w:t xml:space="preserve"> HIPAA Privacy </w:t>
      </w:r>
      <w:proofErr w:type="gramStart"/>
      <w:r w:rsidRPr="00B66D49">
        <w:rPr>
          <w:rFonts w:cstheme="minorHAnsi"/>
          <w:b/>
          <w:color w:val="2D2D2D"/>
          <w:sz w:val="24"/>
          <w:szCs w:val="24"/>
        </w:rPr>
        <w:t>Rule:</w:t>
      </w:r>
      <w:proofErr w:type="gramEnd"/>
    </w:p>
    <w:p w14:paraId="417F2297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9178EE">
        <w:rPr>
          <w:rFonts w:cstheme="minorHAnsi"/>
          <w:b/>
          <w:color w:val="2D2D2D"/>
          <w:sz w:val="24"/>
          <w:szCs w:val="24"/>
        </w:rPr>
        <w:t>Cures Act:</w:t>
      </w:r>
      <w:r>
        <w:rPr>
          <w:rFonts w:cstheme="minorHAnsi"/>
          <w:color w:val="2D2D2D"/>
          <w:sz w:val="24"/>
          <w:szCs w:val="24"/>
        </w:rPr>
        <w:t xml:space="preserve">  Actor refers to healthcare provider, health IT develop of certified health IT, health information network or health information exchange</w:t>
      </w:r>
    </w:p>
    <w:p w14:paraId="455ED991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9178EE">
        <w:rPr>
          <w:rFonts w:cstheme="minorHAnsi"/>
          <w:b/>
          <w:color w:val="2D2D2D"/>
          <w:sz w:val="24"/>
          <w:szCs w:val="24"/>
        </w:rPr>
        <w:t>HIPAA:</w:t>
      </w:r>
      <w:r>
        <w:rPr>
          <w:rFonts w:cstheme="minorHAnsi"/>
          <w:color w:val="2D2D2D"/>
          <w:sz w:val="24"/>
          <w:szCs w:val="24"/>
        </w:rPr>
        <w:t xml:space="preserve">  Covered entity refers to every healthcare provider who electronically sends health information in connection with certain transactions, associated with the healthcare system</w:t>
      </w:r>
    </w:p>
    <w:p w14:paraId="62CD59EE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b/>
          <w:color w:val="2D2D2D"/>
          <w:sz w:val="24"/>
          <w:szCs w:val="24"/>
        </w:rPr>
      </w:pPr>
    </w:p>
    <w:p w14:paraId="7AFFD985" w14:textId="77777777" w:rsidR="00C411BC" w:rsidRPr="00247E1E" w:rsidRDefault="00C411BC" w:rsidP="00C411BC">
      <w:pPr>
        <w:spacing w:before="90" w:after="90" w:line="240" w:lineRule="auto"/>
        <w:textAlignment w:val="baseline"/>
        <w:rPr>
          <w:rFonts w:cstheme="minorHAnsi"/>
          <w:color w:val="4A4A4A"/>
          <w:sz w:val="24"/>
          <w:szCs w:val="24"/>
          <w:shd w:val="clear" w:color="auto" w:fill="FFFFFF"/>
        </w:rPr>
      </w:pPr>
      <w:r w:rsidRPr="009178EE">
        <w:rPr>
          <w:rFonts w:cstheme="minorHAnsi"/>
          <w:b/>
          <w:color w:val="2D2D2D"/>
          <w:sz w:val="24"/>
          <w:szCs w:val="24"/>
        </w:rPr>
        <w:t>Cures Act:</w:t>
      </w:r>
      <w:r>
        <w:rPr>
          <w:rFonts w:cstheme="minorHAnsi"/>
          <w:color w:val="2D2D2D"/>
          <w:sz w:val="24"/>
          <w:szCs w:val="24"/>
        </w:rPr>
        <w:t xml:space="preserve">  </w:t>
      </w:r>
      <w:r>
        <w:rPr>
          <w:rFonts w:ascii="Arial" w:hAnsi="Arial" w:cs="Arial"/>
          <w:color w:val="4A4A4A"/>
          <w:sz w:val="27"/>
          <w:szCs w:val="27"/>
          <w:shd w:val="clear" w:color="auto" w:fill="FFFFFF"/>
        </w:rPr>
        <w:t> </w:t>
      </w:r>
      <w:r w:rsidRPr="00247E1E">
        <w:rPr>
          <w:rFonts w:cstheme="minorHAnsi"/>
          <w:color w:val="4A4A4A"/>
          <w:sz w:val="24"/>
          <w:szCs w:val="24"/>
          <w:shd w:val="clear" w:color="auto" w:fill="FFFFFF"/>
        </w:rPr>
        <w:t>Cures Act enhances the concept of accessing data by mandating flexibility in how and with whom patients share their EPHI.</w:t>
      </w:r>
    </w:p>
    <w:p w14:paraId="4448D042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>
        <w:rPr>
          <w:rFonts w:cstheme="minorHAnsi"/>
          <w:color w:val="2D2D2D"/>
          <w:sz w:val="24"/>
          <w:szCs w:val="24"/>
        </w:rPr>
        <w:t>HIPAA:  Allows patients a right to their data/EPHI.</w:t>
      </w:r>
    </w:p>
    <w:p w14:paraId="386A4114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</w:p>
    <w:p w14:paraId="5F4F7295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9178EE">
        <w:rPr>
          <w:rFonts w:cstheme="minorHAnsi"/>
          <w:b/>
          <w:color w:val="2D2D2D"/>
          <w:sz w:val="24"/>
          <w:szCs w:val="24"/>
        </w:rPr>
        <w:t>Cures Act:</w:t>
      </w:r>
      <w:r>
        <w:rPr>
          <w:rFonts w:cstheme="minorHAnsi"/>
          <w:color w:val="2D2D2D"/>
          <w:sz w:val="24"/>
          <w:szCs w:val="24"/>
        </w:rPr>
        <w:t xml:space="preserve">  Prohibits actors from interfering with access, exchange or use of EHI, unless an exception applies.</w:t>
      </w:r>
    </w:p>
    <w:p w14:paraId="05EBA190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9178EE">
        <w:rPr>
          <w:rFonts w:cstheme="minorHAnsi"/>
          <w:b/>
          <w:color w:val="2D2D2D"/>
          <w:sz w:val="24"/>
          <w:szCs w:val="24"/>
        </w:rPr>
        <w:t>HIPAA:</w:t>
      </w:r>
      <w:r>
        <w:rPr>
          <w:rFonts w:cstheme="minorHAnsi"/>
          <w:color w:val="2D2D2D"/>
          <w:sz w:val="24"/>
          <w:szCs w:val="24"/>
        </w:rPr>
        <w:t xml:space="preserve">  Permits covered entities to disclose PHI only for treatment, payment and healthcare operations</w:t>
      </w:r>
    </w:p>
    <w:p w14:paraId="3BA1C636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</w:p>
    <w:p w14:paraId="483DE899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9178EE">
        <w:rPr>
          <w:rFonts w:cstheme="minorHAnsi"/>
          <w:b/>
          <w:color w:val="2D2D2D"/>
          <w:sz w:val="24"/>
          <w:szCs w:val="24"/>
        </w:rPr>
        <w:t>Cures ACT:</w:t>
      </w:r>
      <w:r>
        <w:rPr>
          <w:rFonts w:cstheme="minorHAnsi"/>
          <w:color w:val="2D2D2D"/>
          <w:sz w:val="24"/>
          <w:szCs w:val="24"/>
        </w:rPr>
        <w:t xml:space="preserve">  Electronic health information is electronic PHI that would be included in a designated record set without respect to whether such information is in the possession of an entity subject to HIPAA (excludes psychotherapy notes and information compiled for litigation)</w:t>
      </w:r>
    </w:p>
    <w:p w14:paraId="0A110D67" w14:textId="77777777" w:rsidR="00C411BC" w:rsidRDefault="00C411BC" w:rsidP="00C411BC">
      <w:p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9178EE">
        <w:rPr>
          <w:rFonts w:cstheme="minorHAnsi"/>
          <w:b/>
          <w:color w:val="2D2D2D"/>
          <w:sz w:val="24"/>
          <w:szCs w:val="24"/>
        </w:rPr>
        <w:t>HIPAA:</w:t>
      </w:r>
      <w:r>
        <w:rPr>
          <w:rFonts w:cstheme="minorHAnsi"/>
          <w:color w:val="2D2D2D"/>
          <w:sz w:val="24"/>
          <w:szCs w:val="24"/>
        </w:rPr>
        <w:t xml:space="preserve">  Protected health information is individually identifiable health information held or transmitted by a covered entity or its business associate</w:t>
      </w:r>
    </w:p>
    <w:p w14:paraId="51C3399F" w14:textId="77777777" w:rsidR="00C411BC" w:rsidRDefault="00C411BC" w:rsidP="00C411BC">
      <w:pPr>
        <w:pStyle w:val="Heading2"/>
        <w:shd w:val="clear" w:color="auto" w:fill="FFFFFF"/>
        <w:spacing w:before="450" w:beforeAutospacing="0" w:after="150" w:afterAutospacing="0"/>
        <w:rPr>
          <w:rFonts w:ascii="HCo Gotham SSm" w:hAnsi="HCo Gotham SSm"/>
          <w:b w:val="0"/>
          <w:bCs w:val="0"/>
          <w:color w:val="000000"/>
          <w:spacing w:val="-8"/>
          <w:sz w:val="32"/>
          <w:szCs w:val="32"/>
        </w:rPr>
      </w:pPr>
    </w:p>
    <w:p w14:paraId="4986733C" w14:textId="77777777" w:rsidR="00C411BC" w:rsidRDefault="00C411BC" w:rsidP="00C411BC">
      <w:pPr>
        <w:rPr>
          <w:rFonts w:cstheme="minorHAnsi"/>
          <w:sz w:val="24"/>
          <w:szCs w:val="24"/>
        </w:rPr>
      </w:pPr>
      <w:r w:rsidRPr="002A698E">
        <w:rPr>
          <w:rFonts w:cstheme="minorHAnsi"/>
          <w:sz w:val="24"/>
          <w:szCs w:val="24"/>
        </w:rPr>
        <w:t>Resources:</w:t>
      </w:r>
    </w:p>
    <w:p w14:paraId="45FFA2E8" w14:textId="77777777" w:rsidR="00C411BC" w:rsidRPr="00C411BC" w:rsidRDefault="00C411BC" w:rsidP="00C411BC">
      <w:pPr>
        <w:pStyle w:val="ListParagraph"/>
        <w:numPr>
          <w:ilvl w:val="0"/>
          <w:numId w:val="3"/>
        </w:numPr>
        <w:spacing w:before="90" w:after="90" w:line="240" w:lineRule="auto"/>
        <w:textAlignment w:val="baseline"/>
        <w:rPr>
          <w:rFonts w:cstheme="minorHAnsi"/>
          <w:b/>
          <w:color w:val="000000" w:themeColor="text1"/>
        </w:rPr>
      </w:pPr>
      <w:hyperlink r:id="rId5" w:history="1">
        <w:r w:rsidRPr="00C411BC">
          <w:rPr>
            <w:rStyle w:val="Hyperlink"/>
            <w:rFonts w:cstheme="minorHAnsi"/>
            <w:color w:val="000000" w:themeColor="text1"/>
          </w:rPr>
          <w:t>https://www.opennotes.org/onc-federal-rule/</w:t>
        </w:r>
      </w:hyperlink>
    </w:p>
    <w:p w14:paraId="7B197D83" w14:textId="77777777" w:rsidR="00C411BC" w:rsidRPr="00C411BC" w:rsidRDefault="00C411BC" w:rsidP="00C411BC">
      <w:pPr>
        <w:pStyle w:val="ListParagraph"/>
        <w:numPr>
          <w:ilvl w:val="0"/>
          <w:numId w:val="3"/>
        </w:numPr>
        <w:spacing w:before="90" w:after="90" w:line="240" w:lineRule="auto"/>
        <w:textAlignment w:val="baseline"/>
        <w:rPr>
          <w:rFonts w:cstheme="minorHAnsi"/>
        </w:rPr>
      </w:pPr>
      <w:hyperlink r:id="rId6" w:history="1">
        <w:r w:rsidRPr="00C411BC">
          <w:rPr>
            <w:rStyle w:val="Hyperlink"/>
            <w:rFonts w:cstheme="minorHAnsi"/>
          </w:rPr>
          <w:t>https://www.ama-assn.org/system/files/2020-02/patient-records-playbook.pdf</w:t>
        </w:r>
      </w:hyperlink>
    </w:p>
    <w:p w14:paraId="1BF105A0" w14:textId="77777777" w:rsidR="00C411BC" w:rsidRPr="00C411BC" w:rsidRDefault="00C411BC" w:rsidP="00C411BC">
      <w:pPr>
        <w:pStyle w:val="ListParagraph"/>
        <w:numPr>
          <w:ilvl w:val="0"/>
          <w:numId w:val="3"/>
        </w:numPr>
        <w:spacing w:before="90" w:after="90" w:line="240" w:lineRule="auto"/>
        <w:textAlignment w:val="baseline"/>
        <w:rPr>
          <w:rFonts w:cstheme="minorHAnsi"/>
        </w:rPr>
      </w:pPr>
      <w:hyperlink r:id="rId7" w:history="1">
        <w:r w:rsidRPr="00C411BC">
          <w:rPr>
            <w:rStyle w:val="Hyperlink"/>
            <w:rFonts w:cstheme="minorHAnsi"/>
          </w:rPr>
          <w:t>https://journal.ahima.org/the-compliance-clock-is-ticking-on-oncs-21st-century-cures-act-regulations/</w:t>
        </w:r>
      </w:hyperlink>
    </w:p>
    <w:p w14:paraId="0D5DC080" w14:textId="014E679D" w:rsidR="00C411BC" w:rsidRPr="00C411BC" w:rsidRDefault="00C411BC" w:rsidP="00C411BC">
      <w:pPr>
        <w:pStyle w:val="ListParagraph"/>
        <w:numPr>
          <w:ilvl w:val="0"/>
          <w:numId w:val="3"/>
        </w:numPr>
        <w:rPr>
          <w:rFonts w:cstheme="minorHAnsi"/>
        </w:rPr>
      </w:pPr>
      <w:hyperlink r:id="rId8" w:history="1">
        <w:r w:rsidRPr="008D66B7">
          <w:rPr>
            <w:rStyle w:val="Hyperlink"/>
            <w:rFonts w:cstheme="minorHAnsi"/>
          </w:rPr>
          <w:t>https://www.ama-assn.org/system/files/2020-10/onc-final-rule-ama-summary.pdf</w:t>
        </w:r>
      </w:hyperlink>
    </w:p>
    <w:p w14:paraId="068E1A8D" w14:textId="77777777" w:rsidR="00C411BC" w:rsidRPr="00C411BC" w:rsidRDefault="00C411BC" w:rsidP="00C411BC">
      <w:pPr>
        <w:pStyle w:val="ListParagraph"/>
        <w:numPr>
          <w:ilvl w:val="0"/>
          <w:numId w:val="3"/>
        </w:numPr>
        <w:rPr>
          <w:rFonts w:cstheme="minorHAnsi"/>
        </w:rPr>
      </w:pPr>
      <w:hyperlink r:id="rId9" w:history="1">
        <w:r w:rsidRPr="00C411BC">
          <w:rPr>
            <w:rStyle w:val="Hyperlink"/>
            <w:rFonts w:cstheme="minorHAnsi"/>
          </w:rPr>
          <w:t>https://www.healthit.gov/curesrule/resources/information-blocking-faqs</w:t>
        </w:r>
      </w:hyperlink>
    </w:p>
    <w:p w14:paraId="28AFF053" w14:textId="77777777" w:rsidR="00C411BC" w:rsidRPr="00C411BC" w:rsidRDefault="00C411BC" w:rsidP="00C411BC">
      <w:pPr>
        <w:pStyle w:val="ListParagraph"/>
        <w:numPr>
          <w:ilvl w:val="0"/>
          <w:numId w:val="3"/>
        </w:numPr>
        <w:rPr>
          <w:rStyle w:val="Hyperlink"/>
          <w:rFonts w:cstheme="minorHAnsi"/>
          <w:color w:val="auto"/>
          <w:u w:val="none"/>
        </w:rPr>
      </w:pPr>
      <w:hyperlink r:id="rId10" w:history="1">
        <w:r w:rsidRPr="00C411BC">
          <w:rPr>
            <w:rStyle w:val="Hyperlink"/>
            <w:rFonts w:cstheme="minorHAnsi"/>
          </w:rPr>
          <w:t>https://ww</w:t>
        </w:r>
        <w:r w:rsidRPr="00C411BC">
          <w:rPr>
            <w:rStyle w:val="Hyperlink"/>
            <w:rFonts w:cstheme="minorHAnsi"/>
          </w:rPr>
          <w:t>w</w:t>
        </w:r>
        <w:r w:rsidRPr="00C411BC">
          <w:rPr>
            <w:rStyle w:val="Hyperlink"/>
            <w:rFonts w:cstheme="minorHAnsi"/>
          </w:rPr>
          <w:t>.healthit.gov/</w:t>
        </w:r>
        <w:r w:rsidRPr="00C411BC">
          <w:rPr>
            <w:rStyle w:val="Hyperlink"/>
            <w:rFonts w:cstheme="minorHAnsi"/>
          </w:rPr>
          <w:t>c</w:t>
        </w:r>
        <w:r w:rsidRPr="00C411BC">
          <w:rPr>
            <w:rStyle w:val="Hyperlink"/>
            <w:rFonts w:cstheme="minorHAnsi"/>
          </w:rPr>
          <w:t>uresrule/what-it-means-for-me/clinicians</w:t>
        </w:r>
      </w:hyperlink>
    </w:p>
    <w:p w14:paraId="02CDC14E" w14:textId="2E1E5B51" w:rsidR="00C411BC" w:rsidRPr="00C411BC" w:rsidRDefault="00C411BC" w:rsidP="00C411BC">
      <w:pPr>
        <w:pStyle w:val="ListParagraph"/>
        <w:numPr>
          <w:ilvl w:val="0"/>
          <w:numId w:val="3"/>
        </w:numPr>
        <w:rPr>
          <w:rFonts w:cstheme="minorHAnsi"/>
        </w:rPr>
      </w:pPr>
      <w:hyperlink r:id="rId11" w:history="1">
        <w:r w:rsidRPr="008D66B7">
          <w:rPr>
            <w:rStyle w:val="Hyperlink"/>
            <w:rFonts w:cstheme="minorHAnsi"/>
          </w:rPr>
          <w:t>https://sironastrategies.com/wp-content/uploads/2020/03/HIT-Leadership-Roundtable-WP-FINAL.pdf</w:t>
        </w:r>
      </w:hyperlink>
      <w:bookmarkStart w:id="0" w:name="_GoBack"/>
      <w:bookmarkEnd w:id="0"/>
    </w:p>
    <w:sectPr w:rsidR="00C411BC" w:rsidRPr="00C4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Co Gotham SSm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4F89"/>
    <w:multiLevelType w:val="hybridMultilevel"/>
    <w:tmpl w:val="E9A6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3875"/>
    <w:multiLevelType w:val="hybridMultilevel"/>
    <w:tmpl w:val="2CD40BA2"/>
    <w:lvl w:ilvl="0" w:tplc="4858B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417E5"/>
    <w:multiLevelType w:val="hybridMultilevel"/>
    <w:tmpl w:val="B70A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BC"/>
    <w:rsid w:val="003A026A"/>
    <w:rsid w:val="006D6129"/>
    <w:rsid w:val="007B48F7"/>
    <w:rsid w:val="008F2D96"/>
    <w:rsid w:val="00A44557"/>
    <w:rsid w:val="00C411BC"/>
    <w:rsid w:val="00D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C9D65"/>
  <w14:defaultImageDpi w14:val="32767"/>
  <w15:chartTrackingRefBased/>
  <w15:docId w15:val="{6E919868-68B4-3A42-98E5-E3A82BAF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11B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C41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1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411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1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11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41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-assn.org/system/files/2020-10/onc-final-rule-ama-summar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.ahima.org/the-compliance-clock-is-ticking-on-oncs-21st-century-cures-act-regula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-assn.org/system/files/2020-02/patient-records-playbook.pdf" TargetMode="External"/><Relationship Id="rId11" Type="http://schemas.openxmlformats.org/officeDocument/2006/relationships/hyperlink" Target="https://sironastrategies.com/wp-content/uploads/2020/03/HIT-Leadership-Roundtable-WP-FINAL.pdf" TargetMode="External"/><Relationship Id="rId5" Type="http://schemas.openxmlformats.org/officeDocument/2006/relationships/hyperlink" Target="https://www.opennotes.org/onc-federal-rule/" TargetMode="External"/><Relationship Id="rId10" Type="http://schemas.openxmlformats.org/officeDocument/2006/relationships/hyperlink" Target="https://www.healthit.gov/curesrule/what-it-means-for-me/clinici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it.gov/curesrule/resources/information-blocking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2063</Characters>
  <Application>Microsoft Office Word</Application>
  <DocSecurity>0</DocSecurity>
  <Lines>39</Lines>
  <Paragraphs>13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Conradt</dc:creator>
  <cp:keywords/>
  <dc:description/>
  <cp:lastModifiedBy>Stacy Conradt</cp:lastModifiedBy>
  <cp:revision>1</cp:revision>
  <dcterms:created xsi:type="dcterms:W3CDTF">2021-03-16T18:25:00Z</dcterms:created>
  <dcterms:modified xsi:type="dcterms:W3CDTF">2021-03-16T18:26:00Z</dcterms:modified>
</cp:coreProperties>
</file>